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595AD" w14:textId="021D64EE" w:rsidR="00DB728F" w:rsidRPr="00E71E09" w:rsidRDefault="00DB728F">
      <w:pPr>
        <w:rPr>
          <w:rFonts w:ascii="Arial" w:hAnsi="Arial" w:cs="Arial"/>
          <w:sz w:val="22"/>
          <w:szCs w:val="22"/>
        </w:rPr>
      </w:pPr>
    </w:p>
    <w:p w14:paraId="5ABBC9F0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713EEFF3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16882F79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0191E18B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48647E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3E80F116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73ADB693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6A42209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05E8E5A6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2BECBE6" w14:textId="77777777" w:rsidR="003D6239" w:rsidRPr="00E71E09" w:rsidRDefault="003D6239" w:rsidP="00E27525">
      <w:pPr>
        <w:pStyle w:val="ACo-nadpis"/>
        <w:numPr>
          <w:ilvl w:val="0"/>
          <w:numId w:val="0"/>
        </w:numPr>
        <w:spacing w:after="0"/>
        <w:ind w:left="720"/>
        <w:jc w:val="left"/>
      </w:pPr>
    </w:p>
    <w:p w14:paraId="7CA1120A" w14:textId="77777777" w:rsidR="00787536" w:rsidRPr="00E71E09" w:rsidRDefault="00787536" w:rsidP="000D7D88">
      <w:pPr>
        <w:pStyle w:val="ACo-nadpis"/>
      </w:pPr>
      <w:r w:rsidRPr="00E71E09">
        <w:t>souhrnná technická ZPRÁVA</w:t>
      </w: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5"/>
        <w:gridCol w:w="2247"/>
        <w:gridCol w:w="793"/>
        <w:gridCol w:w="13"/>
        <w:gridCol w:w="1526"/>
        <w:gridCol w:w="1113"/>
      </w:tblGrid>
      <w:tr w:rsidR="00D7018D" w:rsidRPr="00026656" w14:paraId="22E5271D" w14:textId="77777777" w:rsidTr="009104BF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D0B2970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bookmarkStart w:id="0" w:name="_Hlk101780103"/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19CCE" w14:textId="77777777" w:rsidR="00D7018D" w:rsidRPr="00026656" w:rsidRDefault="00D7018D" w:rsidP="009104BF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B1ECCEB" w14:textId="77777777" w:rsidR="00F810F5" w:rsidRPr="00026656" w:rsidRDefault="00F810F5" w:rsidP="00F810F5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59264" behindDoc="0" locked="0" layoutInCell="1" allowOverlap="1" wp14:anchorId="35885E19" wp14:editId="4B8EA6B8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67A8506D" w14:textId="77777777" w:rsidR="00F810F5" w:rsidRPr="00026656" w:rsidRDefault="00F810F5" w:rsidP="00F810F5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</w:t>
            </w:r>
            <w:proofErr w:type="spellStart"/>
            <w:r w:rsidRPr="00026656">
              <w:rPr>
                <w:rStyle w:val="H4Co-raztko-SPPInfrastruktura"/>
                <w:rFonts w:cs="Arial"/>
              </w:rPr>
              <w:t>Services</w:t>
            </w:r>
            <w:proofErr w:type="spellEnd"/>
            <w:r w:rsidRPr="00026656">
              <w:rPr>
                <w:rStyle w:val="H4Co-raztko-SPPInfrastruktura"/>
                <w:rFonts w:cs="Arial"/>
              </w:rPr>
              <w:t xml:space="preserve"> a.s.</w:t>
            </w:r>
          </w:p>
          <w:p w14:paraId="3F224595" w14:textId="77777777" w:rsidR="00F810F5" w:rsidRPr="00026656" w:rsidRDefault="00F810F5" w:rsidP="00F810F5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20D432C2" w14:textId="77777777" w:rsidR="00F810F5" w:rsidRPr="00026656" w:rsidRDefault="00F810F5" w:rsidP="00F810F5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07ABF6D9" w14:textId="77777777" w:rsidR="00F810F5" w:rsidRPr="00026656" w:rsidRDefault="00F810F5" w:rsidP="00F810F5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6B29A96A" w14:textId="77777777" w:rsidR="00F810F5" w:rsidRPr="00985538" w:rsidRDefault="00F810F5" w:rsidP="00F810F5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6E4D3488" w14:textId="38552565" w:rsidR="00D7018D" w:rsidRPr="00CC1C68" w:rsidRDefault="00F810F5" w:rsidP="00F810F5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D7018D" w:rsidRPr="00026656" w14:paraId="5C2F9781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1A57FB" w14:textId="77777777" w:rsidR="00D7018D" w:rsidRPr="00026656" w:rsidRDefault="00D7018D" w:rsidP="009104BF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29AE06DC" w14:textId="77777777" w:rsidR="00D7018D" w:rsidRPr="00026656" w:rsidRDefault="00D7018D" w:rsidP="009104BF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F520" w14:textId="77777777" w:rsidR="00D7018D" w:rsidRPr="00026656" w:rsidRDefault="00D7018D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44D7FE0" w14:textId="77777777" w:rsidR="00D7018D" w:rsidRPr="00026656" w:rsidRDefault="00D7018D" w:rsidP="009104BF">
            <w:pPr>
              <w:rPr>
                <w:rFonts w:cs="Arial"/>
                <w:sz w:val="20"/>
              </w:rPr>
            </w:pPr>
          </w:p>
        </w:tc>
      </w:tr>
      <w:tr w:rsidR="00D7018D" w:rsidRPr="00026656" w14:paraId="48F42CA2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D415B1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0FB5E" w14:textId="7DCC3F73" w:rsidR="00D7018D" w:rsidRPr="00026656" w:rsidRDefault="006B485D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CC83DB6" w14:textId="77777777" w:rsidR="00D7018D" w:rsidRPr="00026656" w:rsidRDefault="00D7018D" w:rsidP="009104BF">
            <w:pPr>
              <w:rPr>
                <w:rFonts w:cs="Arial"/>
                <w:sz w:val="20"/>
              </w:rPr>
            </w:pPr>
          </w:p>
        </w:tc>
      </w:tr>
      <w:tr w:rsidR="00D7018D" w:rsidRPr="00026656" w14:paraId="40C0703D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5A61218F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5B91" w14:textId="118CDF0C" w:rsidR="00D7018D" w:rsidRPr="00026656" w:rsidRDefault="006B485D" w:rsidP="009104BF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</w:t>
            </w:r>
            <w:r>
              <w:rPr>
                <w:rStyle w:val="H4Co-raztko-SPPInfrastruktura"/>
              </w:rPr>
              <w:t>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5B32A3BD" w14:textId="77777777" w:rsidR="00D7018D" w:rsidRPr="00026656" w:rsidRDefault="00D7018D" w:rsidP="009104BF">
            <w:pPr>
              <w:rPr>
                <w:rFonts w:cs="Arial"/>
                <w:sz w:val="20"/>
              </w:rPr>
            </w:pPr>
          </w:p>
        </w:tc>
      </w:tr>
      <w:tr w:rsidR="00D7018D" w:rsidRPr="00026656" w14:paraId="1AD86F93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319EA130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D9A7DCA" w14:textId="17948794" w:rsidR="00D7018D" w:rsidRPr="00026656" w:rsidRDefault="006B485D" w:rsidP="009104BF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</w:t>
            </w:r>
            <w:proofErr w:type="spellStart"/>
            <w:r w:rsidRPr="00D408A2">
              <w:rPr>
                <w:rStyle w:val="H3Co-raztko-obsah"/>
                <w:rFonts w:cs="Arial"/>
              </w:rPr>
              <w:t>k.ú</w:t>
            </w:r>
            <w:proofErr w:type="spellEnd"/>
            <w:r w:rsidRPr="00D408A2">
              <w:rPr>
                <w:rStyle w:val="H3Co-raztko-obsah"/>
                <w:rFonts w:cs="Arial"/>
              </w:rPr>
              <w:t>. Hořovice), okres Beroun</w:t>
            </w:r>
          </w:p>
        </w:tc>
      </w:tr>
      <w:tr w:rsidR="00D7018D" w:rsidRPr="00026656" w14:paraId="402DF18E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3D0EEC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8099" w14:textId="603D4A4C" w:rsidR="00D7018D" w:rsidRPr="00D7018D" w:rsidRDefault="006B485D" w:rsidP="009104BF">
            <w:pPr>
              <w:contextualSpacing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fldChar w:fldCharType="begin"/>
            </w:r>
            <w:r w:rsidRPr="00026656">
              <w:rPr>
                <w:rStyle w:val="H3Co-raztko-obsah"/>
                <w:rFonts w:cs="Arial"/>
              </w:rPr>
              <w:instrText xml:space="preserve"> MERGEFIELD Investor </w:instrText>
            </w:r>
            <w:r w:rsidRPr="00026656">
              <w:rPr>
                <w:rStyle w:val="H3Co-raztko-obsah"/>
                <w:rFonts w:cs="Arial"/>
              </w:rPr>
              <w:fldChar w:fldCharType="separate"/>
            </w: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ěsto Hořovice</w:t>
            </w:r>
            <w:r w:rsidRPr="00026656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BC5A01" w14:textId="77777777" w:rsidR="00D7018D" w:rsidRPr="00D7018D" w:rsidRDefault="00D7018D" w:rsidP="009104BF">
            <w:pPr>
              <w:contextualSpacing/>
              <w:rPr>
                <w:rStyle w:val="H1Co-raztko-fce"/>
                <w:rFonts w:cs="Arial"/>
              </w:rPr>
            </w:pPr>
            <w:r w:rsidRPr="00D7018D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0D5ABD6" w14:textId="015237B9" w:rsidR="00D7018D" w:rsidRPr="00D7018D" w:rsidRDefault="00826579" w:rsidP="009104BF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3C6D49">
              <w:rPr>
                <w:rStyle w:val="H3Co-raztko-obsah"/>
                <w:rFonts w:cs="Arial"/>
              </w:rPr>
              <w:t>R.22444.001.101261</w:t>
            </w:r>
          </w:p>
        </w:tc>
      </w:tr>
      <w:tr w:rsidR="00D7018D" w:rsidRPr="00026656" w14:paraId="7F444D26" w14:textId="77777777" w:rsidTr="009104BF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3D98B2FF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34C9" w14:textId="409AE2B3" w:rsidR="00D7018D" w:rsidRPr="00026656" w:rsidRDefault="006B485D" w:rsidP="009104BF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  <w:r w:rsidRPr="000436E5">
              <w:rPr>
                <w:rStyle w:val="H5Co-raztko-nzevstavby"/>
                <w:highlight w:val="yellow"/>
              </w:rPr>
              <w:t xml:space="preserve"> 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7B73E818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</w:t>
            </w:r>
            <w:proofErr w:type="spellStart"/>
            <w:r w:rsidRPr="00026656">
              <w:rPr>
                <w:rStyle w:val="H1Co-raztko-fce"/>
                <w:rFonts w:cs="Arial"/>
              </w:rPr>
              <w:t>paré</w:t>
            </w:r>
            <w:proofErr w:type="spellEnd"/>
            <w:r w:rsidRPr="00026656">
              <w:rPr>
                <w:rStyle w:val="H1Co-raztko-fce"/>
                <w:rFonts w:cs="Arial"/>
              </w:rPr>
              <w:t>:</w:t>
            </w:r>
          </w:p>
          <w:p w14:paraId="289BE246" w14:textId="77777777" w:rsidR="00D7018D" w:rsidRPr="00026656" w:rsidRDefault="00D7018D" w:rsidP="009104BF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D7018D" w:rsidRPr="00026656" w14:paraId="509DADBD" w14:textId="77777777" w:rsidTr="009104BF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7A50B412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0DC1" w14:textId="77777777" w:rsidR="00D7018D" w:rsidRPr="00EB4BB7" w:rsidRDefault="00D7018D" w:rsidP="009104BF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D31584A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EB0B" w14:textId="0DDDB4E5" w:rsidR="00D7018D" w:rsidRPr="00026656" w:rsidRDefault="00826579" w:rsidP="009104BF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</w:t>
            </w:r>
            <w:r w:rsidR="00A448F5">
              <w:rPr>
                <w:rStyle w:val="H3Co-raztko-datumstupe"/>
              </w:rPr>
              <w:t>5</w:t>
            </w:r>
            <w:r>
              <w:rPr>
                <w:rStyle w:val="H3Co-raztko-datumstupe"/>
              </w:rPr>
              <w:t>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289EEDF" w14:textId="77777777" w:rsidR="00D7018D" w:rsidRPr="00026656" w:rsidRDefault="00D7018D" w:rsidP="009104BF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D7018D" w:rsidRPr="00026656" w14:paraId="30DE4C33" w14:textId="77777777" w:rsidTr="009104BF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0580" w14:textId="77777777" w:rsidR="00D7018D" w:rsidRPr="00026656" w:rsidRDefault="00D7018D" w:rsidP="009104BF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22D12C" w14:textId="77777777" w:rsidR="00D7018D" w:rsidRPr="00026656" w:rsidRDefault="00D7018D" w:rsidP="009104BF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5E60" w14:textId="59661791" w:rsidR="00D7018D" w:rsidRPr="00593179" w:rsidRDefault="00D7018D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BF7FA4">
              <w:rPr>
                <w:rStyle w:val="H3Co-raztko-datumstupe"/>
                <w:rFonts w:cs="Arial"/>
                <w:b/>
                <w:bCs/>
              </w:rPr>
              <w:t>D</w:t>
            </w:r>
            <w:r w:rsidR="00826579">
              <w:rPr>
                <w:rStyle w:val="H3Co-raztko-datumstupe"/>
                <w:rFonts w:cs="Arial"/>
                <w:b/>
                <w:bCs/>
              </w:rPr>
              <w:t>PS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1794571A" w14:textId="77777777" w:rsidR="00D7018D" w:rsidRPr="00D7018D" w:rsidRDefault="00D7018D" w:rsidP="009104B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D7018D">
              <w:rPr>
                <w:rFonts w:ascii="Arial" w:hAnsi="Arial"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D7018D" w:rsidRPr="00026656" w14:paraId="21080441" w14:textId="77777777" w:rsidTr="009104BF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0C81" w14:textId="77777777" w:rsidR="00D7018D" w:rsidRPr="00026656" w:rsidRDefault="00D7018D" w:rsidP="009104BF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2AD291BF" w14:textId="77777777" w:rsidR="00D7018D" w:rsidRPr="00026656" w:rsidRDefault="00D7018D" w:rsidP="009104BF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E20E7" w14:textId="77777777" w:rsidR="00D7018D" w:rsidRPr="00593179" w:rsidRDefault="00D7018D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63B139EC" w14:textId="645248FA" w:rsidR="00D7018D" w:rsidRPr="00D7018D" w:rsidRDefault="00D7018D" w:rsidP="009104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7018D">
              <w:rPr>
                <w:rFonts w:ascii="Arial" w:hAnsi="Arial" w:cs="Arial"/>
                <w:b/>
                <w:bCs/>
                <w:sz w:val="20"/>
              </w:rPr>
              <w:t>B.</w:t>
            </w:r>
          </w:p>
        </w:tc>
      </w:tr>
      <w:bookmarkEnd w:id="0"/>
    </w:tbl>
    <w:p w14:paraId="4A3E0185" w14:textId="37FC7339" w:rsidR="00B05D45" w:rsidRPr="00E71E09" w:rsidRDefault="00B05D45" w:rsidP="00787536">
      <w:pPr>
        <w:spacing w:after="720"/>
        <w:rPr>
          <w:rFonts w:ascii="Arial" w:hAnsi="Arial" w:cs="Arial"/>
          <w:b/>
          <w:caps/>
          <w:spacing w:val="100"/>
          <w:sz w:val="40"/>
          <w:szCs w:val="40"/>
        </w:rPr>
      </w:pPr>
    </w:p>
    <w:p w14:paraId="47CD16C5" w14:textId="2D18BDDF" w:rsidR="00F87580" w:rsidRPr="00E71E09" w:rsidRDefault="00F87580" w:rsidP="00F60BF4">
      <w:pPr>
        <w:pStyle w:val="Nadpis1"/>
        <w:rPr>
          <w:rFonts w:ascii="Arial" w:hAnsi="Arial" w:cs="Arial"/>
        </w:rPr>
        <w:sectPr w:rsidR="00F87580" w:rsidRPr="00E71E09" w:rsidSect="007344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6" w:bottom="1417" w:left="1417" w:header="540" w:footer="708" w:gutter="0"/>
          <w:cols w:space="708"/>
          <w:titlePg/>
          <w:docGrid w:linePitch="360"/>
        </w:sectPr>
      </w:pPr>
    </w:p>
    <w:p w14:paraId="08F20E74" w14:textId="368747C8" w:rsidR="00B05D45" w:rsidRPr="00EF608E" w:rsidRDefault="00B05D45" w:rsidP="00EF608E">
      <w:pPr>
        <w:rPr>
          <w:rFonts w:ascii="Arial" w:hAnsi="Arial" w:cs="Arial"/>
          <w:b/>
          <w:bCs/>
        </w:rPr>
      </w:pPr>
      <w:bookmarkStart w:id="1" w:name="_Toc331510187"/>
      <w:r w:rsidRPr="00EF608E">
        <w:rPr>
          <w:rFonts w:ascii="Arial" w:hAnsi="Arial" w:cs="Arial"/>
          <w:b/>
          <w:bCs/>
        </w:rPr>
        <w:lastRenderedPageBreak/>
        <w:t>OBSAH:</w:t>
      </w:r>
    </w:p>
    <w:p w14:paraId="49213582" w14:textId="77777777" w:rsidR="00B05D45" w:rsidRPr="00E71E09" w:rsidRDefault="00B05D45" w:rsidP="00B05D45">
      <w:pPr>
        <w:rPr>
          <w:rFonts w:ascii="Arial" w:hAnsi="Arial" w:cs="Arial"/>
        </w:rPr>
      </w:pPr>
    </w:p>
    <w:bookmarkStart w:id="2" w:name="_Toc224538562"/>
    <w:bookmarkStart w:id="3" w:name="_Toc228332754"/>
    <w:bookmarkStart w:id="4" w:name="_Toc286838387"/>
    <w:bookmarkStart w:id="5" w:name="_Toc364083427"/>
    <w:p w14:paraId="2D3D7C06" w14:textId="170EB566" w:rsidR="006943DD" w:rsidRDefault="007C3533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\o "1-2" \t "Nadpis 3;3;_B Co - B.1;1;_C1 Co - podčást;2;_C2 Co - Podčást a);3" </w:instrText>
      </w:r>
      <w:r>
        <w:fldChar w:fldCharType="separate"/>
      </w:r>
      <w:r w:rsidR="006943DD" w:rsidRPr="002011E0">
        <w:t>B.1</w:t>
      </w:r>
      <w:r w:rsidR="006943DD"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="006943DD">
        <w:t>Popis území stavby</w:t>
      </w:r>
      <w:r w:rsidR="006943DD">
        <w:tab/>
      </w:r>
      <w:r w:rsidR="006943DD">
        <w:fldChar w:fldCharType="begin"/>
      </w:r>
      <w:r w:rsidR="006943DD">
        <w:instrText xml:space="preserve"> PAGEREF _Toc134690164 \h </w:instrText>
      </w:r>
      <w:r w:rsidR="006943DD">
        <w:fldChar w:fldCharType="separate"/>
      </w:r>
      <w:r w:rsidR="006943DD">
        <w:t>5</w:t>
      </w:r>
      <w:r w:rsidR="006943DD">
        <w:fldChar w:fldCharType="end"/>
      </w:r>
    </w:p>
    <w:p w14:paraId="2ACBCCC5" w14:textId="1F4240AA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Charakteristika území a stavebního pozemku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77B6C31" w14:textId="58229A3E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Údaje o souladu stavby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4F290B6" w14:textId="6157B413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Informace o vydaných rozhodnutích o povolení výjimky z obecných požadavků na využívaní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8A641B9" w14:textId="411CE543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Informace o tom, zda a v jakých částech dokumentace jsou zohledněny podmínky závazných stanovisek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D344B78" w14:textId="256DF4DF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Výčet a závěry provedených průzkumů a rozborů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A401EB2" w14:textId="72902744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Ochrana území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8E68647" w14:textId="5A31C1FF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g)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Poloha vzhledem k záplavovému území, poddolovanému území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EBA360B" w14:textId="1DEF839B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h)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Vliv stavby na okolní stavby a pozemky, ochrana okolí, vliv stavby na odtokové poměry v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8B8458C" w14:textId="5F58B71C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i)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Požadavky na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50E7F2" w14:textId="60DCC0D1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Požadavky na maximální dočasné a trvalé zábory zemědělského půdního fondu nebo pozemků určených k plnění funkce lesa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ADF11D2" w14:textId="4FA1F043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Územně technické podmínky – zejména možnost napojení na stávající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BB7622" w14:textId="7E5B05D1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Věcné a časové vazby stavby, podmiňující, vyvolané, související investice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4AFF62F" w14:textId="30F860BD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m)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Seznam pozemků podle katastru nemovitostí, na kterých se stavba umísťuje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D84180D" w14:textId="07B6F9B8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n)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Seznam pozemků podle katastru nemovitostí, na kterých vznikne ochranné nebo bezpečnostní pásmo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F9BA6A7" w14:textId="5E4F6DF4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B.2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_Toc134690179 \h </w:instrText>
      </w:r>
      <w:r>
        <w:fldChar w:fldCharType="separate"/>
      </w:r>
      <w:r>
        <w:t>6</w:t>
      </w:r>
      <w:r>
        <w:fldChar w:fldCharType="end"/>
      </w:r>
    </w:p>
    <w:p w14:paraId="11553F4B" w14:textId="54007EBA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B.2.1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Základní charakteristika stavby a jejího užívání</w:t>
      </w:r>
      <w:r>
        <w:tab/>
      </w:r>
      <w:r>
        <w:fldChar w:fldCharType="begin"/>
      </w:r>
      <w:r>
        <w:instrText xml:space="preserve"> PAGEREF _Toc134690180 \h </w:instrText>
      </w:r>
      <w:r>
        <w:fldChar w:fldCharType="separate"/>
      </w:r>
      <w:r>
        <w:t>6</w:t>
      </w:r>
      <w:r>
        <w:fldChar w:fldCharType="end"/>
      </w:r>
    </w:p>
    <w:p w14:paraId="0E69E602" w14:textId="586A8972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FA99254" w14:textId="2F749C36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75F4B72" w14:textId="47C7EAE1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DDE57B1" w14:textId="6E1B88A2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Informace o vydaných rozhodnutích o povolení výjimky z technických požadavků na stavby a technických požadavků zabezpečujících bezbariérové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5D6DDC4" w14:textId="3E186A0B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Informace o tom, zda a v jakých částech dokumentace jsou zohledněny podmínky závazných stanovisek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F069872" w14:textId="74D4D39C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Ochrana stavby podle jiných právní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B132B26" w14:textId="21CE78DB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Navrhované parametry stavby – základní rozměry, maximální množství dopravovaného média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96B3390" w14:textId="412BAFDC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lastRenderedPageBreak/>
        <w:t>h)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Základní bilance stavby – potřeby a spotřeby médií a hmot, hospodaření s dešťovou vodou, celkové produkované množství a druhy odpadů a emisí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0A5DE39" w14:textId="446E3D59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Základní předpoklady výstavby – časové údaje o realizaci stavby, členění na etapy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64B126A" w14:textId="776D5D3B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90E40F4" w14:textId="1468CBB1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B.2.2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Bezpečnost při užívání stavby</w:t>
      </w:r>
      <w:r>
        <w:tab/>
      </w:r>
      <w:r>
        <w:fldChar w:fldCharType="begin"/>
      </w:r>
      <w:r>
        <w:instrText xml:space="preserve"> PAGEREF _Toc134690191 \h </w:instrText>
      </w:r>
      <w:r>
        <w:fldChar w:fldCharType="separate"/>
      </w:r>
      <w:r>
        <w:t>7</w:t>
      </w:r>
      <w:r>
        <w:fldChar w:fldCharType="end"/>
      </w:r>
    </w:p>
    <w:p w14:paraId="52DE9F51" w14:textId="279BB2B6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B.2.3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Základní technicky popis staveb</w:t>
      </w:r>
      <w:r>
        <w:tab/>
      </w:r>
      <w:r>
        <w:fldChar w:fldCharType="begin"/>
      </w:r>
      <w:r>
        <w:instrText xml:space="preserve"> PAGEREF _Toc134690192 \h </w:instrText>
      </w:r>
      <w:r>
        <w:fldChar w:fldCharType="separate"/>
      </w:r>
      <w:r>
        <w:t>9</w:t>
      </w:r>
      <w:r>
        <w:fldChar w:fldCharType="end"/>
      </w:r>
    </w:p>
    <w:p w14:paraId="4192B5A0" w14:textId="456C802B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B.2.4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Základní popis technických a technologických zařízení</w:t>
      </w:r>
      <w:r>
        <w:tab/>
      </w:r>
      <w:r>
        <w:fldChar w:fldCharType="begin"/>
      </w:r>
      <w:r>
        <w:instrText xml:space="preserve"> PAGEREF _Toc134690193 \h </w:instrText>
      </w:r>
      <w:r>
        <w:fldChar w:fldCharType="separate"/>
      </w:r>
      <w:r>
        <w:t>9</w:t>
      </w:r>
      <w:r>
        <w:fldChar w:fldCharType="end"/>
      </w:r>
    </w:p>
    <w:p w14:paraId="344E94BE" w14:textId="6CF5C863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B.2.5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Zásady požárně bezpečnostního řešení</w:t>
      </w:r>
      <w:r>
        <w:tab/>
      </w:r>
      <w:r>
        <w:fldChar w:fldCharType="begin"/>
      </w:r>
      <w:r>
        <w:instrText xml:space="preserve"> PAGEREF _Toc134690194 \h </w:instrText>
      </w:r>
      <w:r>
        <w:fldChar w:fldCharType="separate"/>
      </w:r>
      <w:r>
        <w:t>10</w:t>
      </w:r>
      <w:r>
        <w:fldChar w:fldCharType="end"/>
      </w:r>
    </w:p>
    <w:p w14:paraId="45ACF9CA" w14:textId="4E375925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B.2.6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Hygienické požadavky na stavby, požadavky na pracovní a komunální prostředí</w:t>
      </w:r>
      <w:r>
        <w:tab/>
      </w:r>
      <w:r>
        <w:fldChar w:fldCharType="begin"/>
      </w:r>
      <w:r>
        <w:instrText xml:space="preserve"> PAGEREF _Toc134690195 \h </w:instrText>
      </w:r>
      <w:r>
        <w:fldChar w:fldCharType="separate"/>
      </w:r>
      <w:r>
        <w:t>10</w:t>
      </w:r>
      <w:r>
        <w:fldChar w:fldCharType="end"/>
      </w:r>
    </w:p>
    <w:p w14:paraId="17F7A023" w14:textId="5A837B98" w:rsidR="006943DD" w:rsidRDefault="006943DD">
      <w:pPr>
        <w:pStyle w:val="Obsah2"/>
        <w:tabs>
          <w:tab w:val="left" w:pos="1540"/>
        </w:tabs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B.2.7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Zásady ochrany stavby před negativními účinky vnějšího prostředí</w:t>
      </w:r>
      <w:r>
        <w:tab/>
      </w:r>
      <w:r>
        <w:fldChar w:fldCharType="begin"/>
      </w:r>
      <w:r>
        <w:instrText xml:space="preserve"> PAGEREF _Toc134690196 \h </w:instrText>
      </w:r>
      <w:r>
        <w:fldChar w:fldCharType="separate"/>
      </w:r>
      <w:r>
        <w:t>10</w:t>
      </w:r>
      <w:r>
        <w:fldChar w:fldCharType="end"/>
      </w:r>
    </w:p>
    <w:p w14:paraId="11C72BD2" w14:textId="28084B99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Ochrana před pronikáním radonu z podloží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0E8C73F" w14:textId="47BF2EF8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Ochrana před bludnými proudy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D3078F5" w14:textId="3776D99F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Ochrana před technickou seizmicitou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79D03E7" w14:textId="1BA9F41C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Ochrana před hlukem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DAB97E7" w14:textId="3250FAA8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Protipovodňová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EF2A60" w14:textId="69F2383F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Ochrana před ostatními účinky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43953DC" w14:textId="0ECE8833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B.3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_Toc134690203 \h </w:instrText>
      </w:r>
      <w:r>
        <w:fldChar w:fldCharType="separate"/>
      </w:r>
      <w:r>
        <w:t>10</w:t>
      </w:r>
      <w:r>
        <w:fldChar w:fldCharType="end"/>
      </w:r>
    </w:p>
    <w:p w14:paraId="7652CE20" w14:textId="085CA030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Napojovací místa technické infrastruktury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1BA8C19" w14:textId="36B406D9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Připojovací rozměry, výkonové kapacity a délky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C9D7944" w14:textId="0900FAD4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B.4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_Toc134690206 \h </w:instrText>
      </w:r>
      <w:r>
        <w:fldChar w:fldCharType="separate"/>
      </w:r>
      <w:r>
        <w:t>11</w:t>
      </w:r>
      <w:r>
        <w:fldChar w:fldCharType="end"/>
      </w:r>
    </w:p>
    <w:p w14:paraId="50420BE8" w14:textId="650BAE55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Popis dopravního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0CF93D5" w14:textId="07CF5B38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Napojení území na stávající dopravní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6670FF9" w14:textId="2DD8D382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Doprava v klidu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ADC82C6" w14:textId="41B05283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Pěší a cyklistické stezky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891AC10" w14:textId="373A5238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B.5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_Toc134690211 \h </w:instrText>
      </w:r>
      <w:r>
        <w:fldChar w:fldCharType="separate"/>
      </w:r>
      <w:r>
        <w:t>11</w:t>
      </w:r>
      <w:r>
        <w:fldChar w:fldCharType="end"/>
      </w:r>
    </w:p>
    <w:p w14:paraId="4782BC40" w14:textId="30769A37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Terénní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D7CC64D" w14:textId="15081ADD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Použité vegetační prvky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6D07D1F" w14:textId="2BA5AA0C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Biotechnická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75CDF8E" w14:textId="06123908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B.6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Popis vlivů stavby na životní prostředí a jeho ochrana</w:t>
      </w:r>
      <w:r>
        <w:tab/>
      </w:r>
      <w:r>
        <w:fldChar w:fldCharType="begin"/>
      </w:r>
      <w:r>
        <w:instrText xml:space="preserve"> PAGEREF _Toc134690215 \h </w:instrText>
      </w:r>
      <w:r>
        <w:fldChar w:fldCharType="separate"/>
      </w:r>
      <w:r>
        <w:t>11</w:t>
      </w:r>
      <w:r>
        <w:fldChar w:fldCharType="end"/>
      </w:r>
    </w:p>
    <w:p w14:paraId="40F94DDC" w14:textId="3CE9A4B5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Vliv na životní prostředí – ovzduší, hluk, voda, odpady a půda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2CD3C1" w14:textId="14EB547B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Vliv na přírodu a krajinu – ochrana dřevin, ochrana památných stromů, ochrana rostlin a živočichů, zachování ekologických funkcí a vazeb v krajině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DC45CFE" w14:textId="6B007B83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lastRenderedPageBreak/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Vliv na soustavu chráněných území Natura 2000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013059DD" w14:textId="6E0D70AB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Způsob zohlednění podmínek závazného stanoviska posouzení vlivu záměru na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6F421BE" w14:textId="149A9A75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V případě záměrů spadajících do režimu zákona o integrované prevenci základní parametry způsobu naplnění závěrů o nejlepších dostupných technikách nebo integrované povolení, bylo-li vydáno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EBF412D" w14:textId="28DF698A" w:rsidR="006943DD" w:rsidRDefault="006943DD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Navrhovaná ochranná a bezpečnostní pásma, rozsah omezení a podmínky ochrany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A3447C6" w14:textId="4BCF26DE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B.7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_Toc134690222 \h </w:instrText>
      </w:r>
      <w:r>
        <w:fldChar w:fldCharType="separate"/>
      </w:r>
      <w:r>
        <w:t>12</w:t>
      </w:r>
      <w:r>
        <w:fldChar w:fldCharType="end"/>
      </w:r>
    </w:p>
    <w:p w14:paraId="62B22409" w14:textId="21077498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B.8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_Toc134690223 \h </w:instrText>
      </w:r>
      <w:r>
        <w:fldChar w:fldCharType="separate"/>
      </w:r>
      <w:r>
        <w:t>12</w:t>
      </w:r>
      <w:r>
        <w:fldChar w:fldCharType="end"/>
      </w:r>
    </w:p>
    <w:p w14:paraId="671D5472" w14:textId="39CC9FFF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Napojení staveniště na stávající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B3D77D2" w14:textId="23F56E0E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Ochrana okolí staveniště a požadavky na související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302AAE66" w14:textId="2687E860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Maximální dočasné a trvalé zábory pro staveniště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0714350" w14:textId="2CC73F9B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Požadavky na bezbariérové obchozí trasy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4430401C" w14:textId="10453617" w:rsidR="006943DD" w:rsidRDefault="006943DD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011E0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011E0">
        <w:rPr>
          <w:rFonts w:cs="Arial"/>
          <w:noProof/>
        </w:rPr>
        <w:t>Bilance zemních prací, požadavky na přísun nebo deponie zemin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_Toc134690228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A184951" w14:textId="7FC60826" w:rsidR="006943DD" w:rsidRDefault="006943DD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011E0">
        <w:t>B.9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Celkové vodohospodářské řešení</w:t>
      </w:r>
      <w:r>
        <w:tab/>
      </w:r>
      <w:r>
        <w:fldChar w:fldCharType="begin"/>
      </w:r>
      <w:r>
        <w:instrText xml:space="preserve"> PAGEREF _Toc134690229 \h </w:instrText>
      </w:r>
      <w:r>
        <w:fldChar w:fldCharType="separate"/>
      </w:r>
      <w:r>
        <w:t>13</w:t>
      </w:r>
      <w:r>
        <w:fldChar w:fldCharType="end"/>
      </w:r>
    </w:p>
    <w:p w14:paraId="66EB303C" w14:textId="60C1656A" w:rsidR="004659E3" w:rsidRPr="00E71E09" w:rsidRDefault="007C3533">
      <w:pPr>
        <w:rPr>
          <w:rFonts w:ascii="Arial" w:hAnsi="Arial" w:cs="Arial"/>
          <w:b/>
          <w:sz w:val="28"/>
          <w:szCs w:val="40"/>
          <w:u w:val="single"/>
        </w:rPr>
      </w:pPr>
      <w:r>
        <w:rPr>
          <w:rFonts w:ascii="Arial" w:hAnsi="Arial" w:cs="Arial"/>
          <w:noProof/>
          <w:sz w:val="26"/>
          <w:szCs w:val="20"/>
        </w:rPr>
        <w:fldChar w:fldCharType="end"/>
      </w:r>
      <w:r w:rsidR="004659E3" w:rsidRPr="00E71E09">
        <w:rPr>
          <w:rFonts w:ascii="Arial" w:hAnsi="Arial" w:cs="Arial"/>
        </w:rPr>
        <w:br w:type="page"/>
      </w:r>
    </w:p>
    <w:p w14:paraId="67A653FF" w14:textId="77777777" w:rsidR="007F3E3B" w:rsidRPr="00E71E09" w:rsidRDefault="00F7493A" w:rsidP="00F60BF4">
      <w:pPr>
        <w:pStyle w:val="BCo-B1"/>
      </w:pPr>
      <w:bookmarkStart w:id="6" w:name="_Toc459190887"/>
      <w:bookmarkStart w:id="7" w:name="_Toc459641832"/>
      <w:bookmarkStart w:id="8" w:name="_Toc459703124"/>
      <w:bookmarkStart w:id="9" w:name="_Toc227642043"/>
      <w:bookmarkStart w:id="10" w:name="_Toc228332517"/>
      <w:bookmarkStart w:id="11" w:name="_Toc228332757"/>
      <w:bookmarkStart w:id="12" w:name="_Toc263412104"/>
      <w:bookmarkStart w:id="13" w:name="_Toc322411072"/>
      <w:bookmarkStart w:id="14" w:name="_Toc341682786"/>
      <w:bookmarkStart w:id="15" w:name="_Toc341766423"/>
      <w:bookmarkStart w:id="16" w:name="_Toc363717115"/>
      <w:bookmarkStart w:id="17" w:name="_Toc134690164"/>
      <w:bookmarkEnd w:id="1"/>
      <w:bookmarkEnd w:id="2"/>
      <w:bookmarkEnd w:id="3"/>
      <w:bookmarkEnd w:id="4"/>
      <w:bookmarkEnd w:id="5"/>
      <w:r w:rsidRPr="00E71E09">
        <w:lastRenderedPageBreak/>
        <w:t>Popis území stavby</w:t>
      </w:r>
      <w:bookmarkEnd w:id="6"/>
      <w:bookmarkEnd w:id="7"/>
      <w:bookmarkEnd w:id="8"/>
      <w:bookmarkEnd w:id="17"/>
    </w:p>
    <w:p w14:paraId="72F1548C" w14:textId="554CBD1E" w:rsidR="001A0FCE" w:rsidRPr="00E71E09" w:rsidRDefault="00F7493A" w:rsidP="00885E84">
      <w:pPr>
        <w:pStyle w:val="C2Co-Podsta"/>
        <w:rPr>
          <w:rFonts w:cs="Arial"/>
        </w:rPr>
      </w:pPr>
      <w:bookmarkStart w:id="18" w:name="_Toc134690165"/>
      <w:r w:rsidRPr="00E71E09">
        <w:rPr>
          <w:rFonts w:cs="Arial"/>
        </w:rPr>
        <w:t xml:space="preserve">Charakteristika </w:t>
      </w:r>
      <w:r w:rsidR="0018151D">
        <w:rPr>
          <w:rFonts w:cs="Arial"/>
        </w:rPr>
        <w:t xml:space="preserve">území a </w:t>
      </w:r>
      <w:r w:rsidRPr="00E71E09">
        <w:rPr>
          <w:rFonts w:cs="Arial"/>
        </w:rPr>
        <w:t>stavebního pozemku</w:t>
      </w:r>
      <w:bookmarkEnd w:id="18"/>
    </w:p>
    <w:p w14:paraId="4942253B" w14:textId="77777777" w:rsidR="00AA1143" w:rsidRDefault="00902BCA" w:rsidP="00A80037">
      <w:pPr>
        <w:pStyle w:val="D1Co-normln"/>
        <w:outlineLvl w:val="0"/>
        <w:rPr>
          <w:rFonts w:cs="Arial"/>
        </w:rPr>
      </w:pPr>
      <w:r w:rsidRPr="00E71E09">
        <w:rPr>
          <w:rFonts w:cs="Arial"/>
        </w:rPr>
        <w:t xml:space="preserve">Stavba se nachází </w:t>
      </w:r>
      <w:r w:rsidR="000D156A">
        <w:rPr>
          <w:rFonts w:cs="Arial"/>
        </w:rPr>
        <w:t>v</w:t>
      </w:r>
      <w:r w:rsidR="00783259">
        <w:rPr>
          <w:rFonts w:cs="Arial"/>
        </w:rPr>
        <w:t> </w:t>
      </w:r>
      <w:r w:rsidR="000D156A">
        <w:rPr>
          <w:rFonts w:cs="Arial"/>
        </w:rPr>
        <w:t>zastavěné</w:t>
      </w:r>
      <w:r w:rsidR="00113772">
        <w:rPr>
          <w:rFonts w:cs="Arial"/>
        </w:rPr>
        <w:t>m</w:t>
      </w:r>
      <w:r w:rsidR="00783259">
        <w:rPr>
          <w:rFonts w:cs="Arial"/>
        </w:rPr>
        <w:t xml:space="preserve"> území města Hořovice. Stavba je umístěna na neveřejně přístupném místě v areálu zimního stadionu Hořovice u Společenského domu.</w:t>
      </w:r>
    </w:p>
    <w:p w14:paraId="58092300" w14:textId="0FC30FCF" w:rsidR="00823F28" w:rsidRPr="00E71E09" w:rsidRDefault="00823F28" w:rsidP="00A80037">
      <w:pPr>
        <w:pStyle w:val="D1Co-normln"/>
        <w:outlineLvl w:val="0"/>
        <w:rPr>
          <w:rFonts w:cs="Arial"/>
        </w:rPr>
      </w:pPr>
      <w:r>
        <w:rPr>
          <w:rFonts w:cs="Arial"/>
        </w:rPr>
        <w:t>Dotčené pozemky jsou uvedeny</w:t>
      </w:r>
      <w:r w:rsidR="00EE7AA2">
        <w:rPr>
          <w:rFonts w:cs="Arial"/>
        </w:rPr>
        <w:t xml:space="preserve"> </w:t>
      </w:r>
      <w:bookmarkStart w:id="19" w:name="_Hlk47338698"/>
      <w:r w:rsidR="00EE7AA2">
        <w:rPr>
          <w:rFonts w:cs="Arial"/>
        </w:rPr>
        <w:t>níže</w:t>
      </w:r>
      <w:r>
        <w:rPr>
          <w:rFonts w:cs="Arial"/>
        </w:rPr>
        <w:t xml:space="preserve"> v</w:t>
      </w:r>
      <w:r w:rsidR="006259EF">
        <w:rPr>
          <w:rFonts w:cs="Arial"/>
        </w:rPr>
        <w:t> odstavci B.10 Parcelní protokol – seznam dotčených nemovitostí a pozemků</w:t>
      </w:r>
      <w:r w:rsidR="005708DD">
        <w:rPr>
          <w:rFonts w:cs="Arial"/>
        </w:rPr>
        <w:t xml:space="preserve">, kde jsou uvedeni vlastníci pozemku, </w:t>
      </w:r>
      <w:r w:rsidR="006259EF">
        <w:rPr>
          <w:rFonts w:cs="Arial"/>
        </w:rPr>
        <w:t>popis činnosti</w:t>
      </w:r>
      <w:r w:rsidR="00492FEB">
        <w:rPr>
          <w:rFonts w:cs="Arial"/>
        </w:rPr>
        <w:t xml:space="preserve"> a</w:t>
      </w:r>
      <w:r w:rsidR="005708DD">
        <w:rPr>
          <w:rFonts w:cs="Arial"/>
        </w:rPr>
        <w:t xml:space="preserve"> délky kabelových </w:t>
      </w:r>
      <w:r w:rsidR="00D45506">
        <w:rPr>
          <w:rFonts w:cs="Arial"/>
        </w:rPr>
        <w:t>vedení na jednotlivých parcelách</w:t>
      </w:r>
      <w:bookmarkEnd w:id="19"/>
      <w:r w:rsidR="00492FEB">
        <w:rPr>
          <w:rFonts w:cs="Arial"/>
        </w:rPr>
        <w:t>.</w:t>
      </w:r>
    </w:p>
    <w:p w14:paraId="13ECAB65" w14:textId="7537131C" w:rsidR="001A0FCE" w:rsidRPr="00E71E09" w:rsidRDefault="00FF5EE1" w:rsidP="00885E84">
      <w:pPr>
        <w:pStyle w:val="C2Co-Podsta"/>
        <w:rPr>
          <w:rFonts w:cs="Arial"/>
        </w:rPr>
      </w:pPr>
      <w:bookmarkStart w:id="20" w:name="_Toc134690166"/>
      <w:r>
        <w:rPr>
          <w:rFonts w:cs="Arial"/>
        </w:rPr>
        <w:t>Údaje o souladu stavby s územně plánovací dokumentací</w:t>
      </w:r>
      <w:bookmarkEnd w:id="20"/>
    </w:p>
    <w:p w14:paraId="7977EF65" w14:textId="373930A1" w:rsidR="007F3E3B" w:rsidRPr="00E71E09" w:rsidRDefault="00492FEB" w:rsidP="002D45B3">
      <w:pPr>
        <w:pStyle w:val="D1Co-normln"/>
        <w:rPr>
          <w:rFonts w:cs="Arial"/>
        </w:rPr>
      </w:pPr>
      <w:r>
        <w:rPr>
          <w:rFonts w:cs="Arial"/>
        </w:rPr>
        <w:t>Jedná se</w:t>
      </w:r>
      <w:r w:rsidR="00CD03D7">
        <w:rPr>
          <w:rFonts w:cs="Arial"/>
        </w:rPr>
        <w:t xml:space="preserve"> o</w:t>
      </w:r>
      <w:r>
        <w:rPr>
          <w:rFonts w:cs="Arial"/>
        </w:rPr>
        <w:t xml:space="preserve"> stavbu</w:t>
      </w:r>
      <w:r w:rsidR="00D074F9">
        <w:rPr>
          <w:rFonts w:cs="Arial"/>
        </w:rPr>
        <w:t xml:space="preserve"> </w:t>
      </w:r>
      <w:r>
        <w:rPr>
          <w:rFonts w:cs="Arial"/>
        </w:rPr>
        <w:t>technické infrastruktury</w:t>
      </w:r>
      <w:r w:rsidR="00D074F9">
        <w:rPr>
          <w:rFonts w:cs="Arial"/>
        </w:rPr>
        <w:t>, která není v rozporu s územně plánovací dokumentací.</w:t>
      </w:r>
    </w:p>
    <w:p w14:paraId="0927EE41" w14:textId="4B11068E" w:rsidR="001A0FCE" w:rsidRPr="00B8205C" w:rsidRDefault="00492FEB" w:rsidP="00452A27">
      <w:pPr>
        <w:pStyle w:val="C2Co-Podsta"/>
        <w:rPr>
          <w:rFonts w:cs="Arial"/>
        </w:rPr>
      </w:pPr>
      <w:bookmarkStart w:id="21" w:name="_Toc134690167"/>
      <w:r w:rsidRPr="00B8205C">
        <w:rPr>
          <w:rFonts w:cs="Arial"/>
        </w:rPr>
        <w:t>Informace o vydaných rozhodnutích o povolení výjimky z obecných požadavků na využívaní území</w:t>
      </w:r>
      <w:bookmarkEnd w:id="21"/>
    </w:p>
    <w:p w14:paraId="5BEBF121" w14:textId="403DD08F" w:rsidR="00F7493A" w:rsidRPr="00B8205C" w:rsidRDefault="00492FEB" w:rsidP="00787482">
      <w:pPr>
        <w:pStyle w:val="D1Co-normln"/>
        <w:rPr>
          <w:rFonts w:cs="Arial"/>
        </w:rPr>
      </w:pPr>
      <w:r w:rsidRPr="00B8205C">
        <w:rPr>
          <w:rFonts w:cs="Arial"/>
        </w:rPr>
        <w:t>Netýká se této stavby.</w:t>
      </w:r>
    </w:p>
    <w:p w14:paraId="058E5DB4" w14:textId="2F5400E5" w:rsidR="00F7493A" w:rsidRPr="007430FF" w:rsidRDefault="00492FEB" w:rsidP="00452A27">
      <w:pPr>
        <w:pStyle w:val="C2Co-Podsta"/>
        <w:rPr>
          <w:rFonts w:cs="Arial"/>
        </w:rPr>
      </w:pPr>
      <w:bookmarkStart w:id="22" w:name="_Toc134690168"/>
      <w:r w:rsidRPr="007430FF">
        <w:rPr>
          <w:rFonts w:cs="Arial"/>
        </w:rPr>
        <w:t>Informace o tom, zda a v jakých částech dokumentace jsou zohledněny podmínky závazných stanovisek dotčených orgánů</w:t>
      </w:r>
      <w:bookmarkEnd w:id="22"/>
    </w:p>
    <w:p w14:paraId="41AD6648" w14:textId="676A51FC" w:rsidR="0058628A" w:rsidRPr="007430FF" w:rsidRDefault="00492FEB" w:rsidP="00F7493A">
      <w:pPr>
        <w:pStyle w:val="D1Co-normln"/>
        <w:rPr>
          <w:rFonts w:cs="Arial"/>
        </w:rPr>
      </w:pPr>
      <w:r w:rsidRPr="007430FF">
        <w:rPr>
          <w:rFonts w:cs="Arial"/>
        </w:rPr>
        <w:t xml:space="preserve">Obdržené požadavky dotčených orgánů jsou v projektové dokumentaci respektovány, viz dokladová část. </w:t>
      </w:r>
    </w:p>
    <w:p w14:paraId="3439B239" w14:textId="4AEACB29" w:rsidR="00F7493A" w:rsidRPr="007430FF" w:rsidRDefault="00492FEB" w:rsidP="00452A27">
      <w:pPr>
        <w:pStyle w:val="C2Co-Podsta"/>
        <w:rPr>
          <w:rFonts w:cs="Arial"/>
        </w:rPr>
      </w:pPr>
      <w:bookmarkStart w:id="23" w:name="_Toc134690169"/>
      <w:r w:rsidRPr="007430FF">
        <w:rPr>
          <w:rFonts w:cs="Arial"/>
        </w:rPr>
        <w:t>Výčet a závěry provedených průzkumů a rozborů</w:t>
      </w:r>
      <w:bookmarkEnd w:id="23"/>
    </w:p>
    <w:p w14:paraId="2476F4EC" w14:textId="1DFF7879" w:rsidR="007A411D" w:rsidRPr="007430FF" w:rsidRDefault="00A84D3E" w:rsidP="00CF13B6">
      <w:pPr>
        <w:pStyle w:val="D1Co-normln"/>
        <w:rPr>
          <w:rFonts w:cs="Arial"/>
        </w:rPr>
      </w:pPr>
      <w:r w:rsidRPr="007430FF">
        <w:rPr>
          <w:rFonts w:cs="Arial"/>
        </w:rPr>
        <w:t>Z vyjádření dotčených organizací a orgánů státní správy nevyplynuly žádné požadavky na provádění průzkumu. V rámci stavby proto nebyly prováděny žádné průzkumy.</w:t>
      </w:r>
    </w:p>
    <w:p w14:paraId="029ECEC4" w14:textId="10FCDAAA" w:rsidR="00F7493A" w:rsidRPr="007430FF" w:rsidRDefault="00A84D3E" w:rsidP="00452A27">
      <w:pPr>
        <w:pStyle w:val="C2Co-Podsta"/>
        <w:rPr>
          <w:rFonts w:cs="Arial"/>
        </w:rPr>
      </w:pPr>
      <w:bookmarkStart w:id="24" w:name="_Toc134690170"/>
      <w:r w:rsidRPr="007430FF">
        <w:rPr>
          <w:rFonts w:cs="Arial"/>
        </w:rPr>
        <w:t>Ochrana území podle jiných právních předpisů</w:t>
      </w:r>
      <w:bookmarkEnd w:id="24"/>
    </w:p>
    <w:p w14:paraId="216EDE31" w14:textId="5341D6F6" w:rsidR="00222FFB" w:rsidRPr="007430FF" w:rsidRDefault="004A1F6F" w:rsidP="00DD0A43">
      <w:pPr>
        <w:pStyle w:val="D1Co-normln"/>
        <w:spacing w:before="120"/>
        <w:rPr>
          <w:rFonts w:cs="Arial"/>
        </w:rPr>
      </w:pPr>
      <w:r w:rsidRPr="007430FF">
        <w:rPr>
          <w:rFonts w:cs="Arial"/>
        </w:rPr>
        <w:t xml:space="preserve">Stavba se </w:t>
      </w:r>
      <w:r w:rsidR="002720A4" w:rsidRPr="007430FF">
        <w:rPr>
          <w:rFonts w:cs="Arial"/>
        </w:rPr>
        <w:t>ne</w:t>
      </w:r>
      <w:r w:rsidRPr="007430FF">
        <w:rPr>
          <w:rFonts w:cs="Arial"/>
        </w:rPr>
        <w:t xml:space="preserve">nachází na památkově chráněném územím. </w:t>
      </w:r>
      <w:r w:rsidR="00C53B8C" w:rsidRPr="007430FF">
        <w:rPr>
          <w:rFonts w:cs="Arial"/>
        </w:rPr>
        <w:t xml:space="preserve"> </w:t>
      </w:r>
    </w:p>
    <w:p w14:paraId="354EBEFE" w14:textId="4C6AA018" w:rsidR="00F7493A" w:rsidRPr="007430FF" w:rsidRDefault="004A1F6F" w:rsidP="00452A27">
      <w:pPr>
        <w:pStyle w:val="C2Co-Podsta"/>
        <w:rPr>
          <w:rFonts w:cs="Arial"/>
        </w:rPr>
      </w:pPr>
      <w:bookmarkStart w:id="25" w:name="_Toc134690171"/>
      <w:r w:rsidRPr="007430FF">
        <w:rPr>
          <w:rFonts w:cs="Arial"/>
        </w:rPr>
        <w:t>Poloha vzhledem k záplavovému území, poddolovanému území apod.</w:t>
      </w:r>
      <w:bookmarkEnd w:id="25"/>
    </w:p>
    <w:p w14:paraId="2901E1CE" w14:textId="124C2F3B" w:rsidR="0014279B" w:rsidRPr="007430FF" w:rsidRDefault="004A1F6F" w:rsidP="00C53B8C">
      <w:pPr>
        <w:pStyle w:val="D1Co-normln"/>
        <w:rPr>
          <w:rFonts w:cs="Arial"/>
        </w:rPr>
      </w:pPr>
      <w:r w:rsidRPr="007430FF">
        <w:rPr>
          <w:rFonts w:cs="Arial"/>
        </w:rPr>
        <w:t xml:space="preserve">Stavba </w:t>
      </w:r>
      <w:r w:rsidR="00714974" w:rsidRPr="007430FF">
        <w:rPr>
          <w:rFonts w:cs="Arial"/>
        </w:rPr>
        <w:t>není situována v záplavovém území vodních toků</w:t>
      </w:r>
      <w:r w:rsidR="00FF6AD9" w:rsidRPr="007430FF">
        <w:rPr>
          <w:rFonts w:cs="Arial"/>
        </w:rPr>
        <w:t xml:space="preserve"> ani poddolovaném</w:t>
      </w:r>
      <w:r w:rsidR="002720A4" w:rsidRPr="007430FF">
        <w:rPr>
          <w:rFonts w:cs="Arial"/>
        </w:rPr>
        <w:t xml:space="preserve"> území</w:t>
      </w:r>
      <w:r w:rsidR="00714974" w:rsidRPr="007430FF">
        <w:rPr>
          <w:rFonts w:cs="Arial"/>
        </w:rPr>
        <w:t>.</w:t>
      </w:r>
    </w:p>
    <w:p w14:paraId="484052E8" w14:textId="18E04E90" w:rsidR="00F7493A" w:rsidRPr="002E4611" w:rsidRDefault="00714974" w:rsidP="00452A27">
      <w:pPr>
        <w:pStyle w:val="C2Co-Podsta"/>
        <w:rPr>
          <w:rFonts w:cs="Arial"/>
        </w:rPr>
      </w:pPr>
      <w:bookmarkStart w:id="26" w:name="_Toc134690172"/>
      <w:r w:rsidRPr="002E4611">
        <w:rPr>
          <w:rFonts w:cs="Arial"/>
        </w:rPr>
        <w:t>Vliv stavby na okolní stavby a pozemky, ochrana okolí, vliv stavby na odtokové poměry v území</w:t>
      </w:r>
      <w:bookmarkEnd w:id="26"/>
    </w:p>
    <w:p w14:paraId="74C4BD6F" w14:textId="4839E772" w:rsidR="00641254" w:rsidRPr="002E4611" w:rsidRDefault="00714974" w:rsidP="00F7493A">
      <w:pPr>
        <w:pStyle w:val="D1Co-normln"/>
        <w:rPr>
          <w:rFonts w:cs="Arial"/>
        </w:rPr>
      </w:pPr>
      <w:r w:rsidRPr="002E4611">
        <w:rPr>
          <w:rFonts w:cs="Arial"/>
        </w:rPr>
        <w:t>Stavba nebude mít trvalé negativní účinky na okolní pozemky a stavby</w:t>
      </w:r>
      <w:r w:rsidR="00A7171C" w:rsidRPr="002E4611">
        <w:rPr>
          <w:rFonts w:cs="Arial"/>
        </w:rPr>
        <w:t>.</w:t>
      </w:r>
    </w:p>
    <w:p w14:paraId="3AA451E5" w14:textId="22F7C173" w:rsidR="00F7493A" w:rsidRPr="00587F11" w:rsidRDefault="00714974" w:rsidP="00452A27">
      <w:pPr>
        <w:pStyle w:val="C2Co-Podsta"/>
        <w:rPr>
          <w:rFonts w:cs="Arial"/>
        </w:rPr>
      </w:pPr>
      <w:bookmarkStart w:id="27" w:name="_Toc134690173"/>
      <w:r w:rsidRPr="00587F11">
        <w:rPr>
          <w:rFonts w:cs="Arial"/>
        </w:rPr>
        <w:t>Požadavky na asanace, demolice, kácení dřevin</w:t>
      </w:r>
      <w:bookmarkEnd w:id="27"/>
    </w:p>
    <w:p w14:paraId="4CE6A0B9" w14:textId="73569F9D" w:rsidR="00464C07" w:rsidRPr="00587F11" w:rsidRDefault="007C027C" w:rsidP="00295C89">
      <w:pPr>
        <w:tabs>
          <w:tab w:val="left" w:pos="2700"/>
          <w:tab w:val="left" w:pos="3780"/>
          <w:tab w:val="left" w:pos="4680"/>
          <w:tab w:val="left" w:pos="5040"/>
        </w:tabs>
        <w:ind w:left="680" w:firstLine="425"/>
        <w:jc w:val="both"/>
        <w:rPr>
          <w:rFonts w:ascii="Arial" w:hAnsi="Arial" w:cs="Arial"/>
        </w:rPr>
      </w:pPr>
      <w:r w:rsidRPr="00587F11">
        <w:rPr>
          <w:rStyle w:val="D1Co-normlnChar"/>
        </w:rPr>
        <w:t>Výstavba nové odběratelské transformační stanice neklade požadavky na asanace, demolice, kácení dřevin</w:t>
      </w:r>
      <w:r w:rsidR="00C96B5F" w:rsidRPr="00587F11">
        <w:rPr>
          <w:rFonts w:ascii="Arial" w:hAnsi="Arial" w:cs="Arial"/>
        </w:rPr>
        <w:t xml:space="preserve">. </w:t>
      </w:r>
    </w:p>
    <w:p w14:paraId="64F34294" w14:textId="24C0850E" w:rsidR="00295C89" w:rsidRPr="00A97324" w:rsidRDefault="00295C89" w:rsidP="00295C89">
      <w:pPr>
        <w:pStyle w:val="C2Co-Podsta"/>
      </w:pPr>
      <w:bookmarkStart w:id="28" w:name="_Toc134690174"/>
      <w:r w:rsidRPr="00A97324">
        <w:t>Požadavky na maximální dočasné a trvalé zábory zemědělského půdního fondu nebo pozemků určených k plnění funkce lesa</w:t>
      </w:r>
      <w:bookmarkEnd w:id="28"/>
    </w:p>
    <w:p w14:paraId="08BD255C" w14:textId="7B366914" w:rsidR="00295C89" w:rsidRPr="00A97324" w:rsidRDefault="00587F11" w:rsidP="00295C89">
      <w:pPr>
        <w:pStyle w:val="D1Co-normln"/>
      </w:pPr>
      <w:r w:rsidRPr="00A97324">
        <w:t>V rámci uvedené stavby nedojde k </w:t>
      </w:r>
      <w:r w:rsidR="00A97324" w:rsidRPr="00A97324">
        <w:t>t</w:t>
      </w:r>
      <w:r w:rsidRPr="00A97324">
        <w:t>rvalým nebo dočasným záborům</w:t>
      </w:r>
    </w:p>
    <w:p w14:paraId="4B4FED9A" w14:textId="5B51A4F2" w:rsidR="00295C89" w:rsidRPr="00A97324" w:rsidRDefault="00295C89" w:rsidP="00295C89">
      <w:pPr>
        <w:pStyle w:val="C2Co-Podsta"/>
      </w:pPr>
      <w:bookmarkStart w:id="29" w:name="_Toc134690175"/>
      <w:r w:rsidRPr="00A97324">
        <w:t>Územně technické podmínky – zejména možnost napojení na stávající dopravní a technickou infrastrukturu</w:t>
      </w:r>
      <w:bookmarkEnd w:id="29"/>
    </w:p>
    <w:p w14:paraId="6631C6CE" w14:textId="4EA0ADD4" w:rsidR="00295C89" w:rsidRPr="00A97324" w:rsidRDefault="00295C89" w:rsidP="00295C89">
      <w:pPr>
        <w:pStyle w:val="D1Co-normln"/>
      </w:pPr>
      <w:r w:rsidRPr="00A97324">
        <w:t>Stavba bude napojena na stávající distribuční síť elektřin</w:t>
      </w:r>
      <w:r w:rsidR="00384A17" w:rsidRPr="00A97324">
        <w:t xml:space="preserve">y, která je v majetku </w:t>
      </w:r>
      <w:r w:rsidR="00A97324" w:rsidRPr="00A97324">
        <w:t xml:space="preserve">ČEZ Distribuce, </w:t>
      </w:r>
      <w:proofErr w:type="gramStart"/>
      <w:r w:rsidR="00A97324" w:rsidRPr="00A97324">
        <w:t>a.s.</w:t>
      </w:r>
      <w:r w:rsidR="00384A17" w:rsidRPr="00A97324">
        <w:t>.</w:t>
      </w:r>
      <w:proofErr w:type="gramEnd"/>
      <w:r w:rsidR="00384A17" w:rsidRPr="00A97324">
        <w:t xml:space="preserve"> Na ostatní sítě veřejné dopravní a technické infrastrukturu stavba napojena nebude. </w:t>
      </w:r>
    </w:p>
    <w:p w14:paraId="1CBA5DF9" w14:textId="4FCF21AA" w:rsidR="00384A17" w:rsidRPr="00A97324" w:rsidRDefault="00384A17" w:rsidP="00384A17">
      <w:pPr>
        <w:pStyle w:val="C2Co-Podsta"/>
      </w:pPr>
      <w:bookmarkStart w:id="30" w:name="_Toc134690176"/>
      <w:r w:rsidRPr="00A97324">
        <w:lastRenderedPageBreak/>
        <w:t>Věcné a časové vazby stavby, podmiňující, vyvolané, související investice</w:t>
      </w:r>
      <w:bookmarkEnd w:id="30"/>
    </w:p>
    <w:p w14:paraId="584B5192" w14:textId="2AAA8F27" w:rsidR="00384A17" w:rsidRPr="00A97324" w:rsidRDefault="00A97324" w:rsidP="00384A17">
      <w:pPr>
        <w:pStyle w:val="D1Co-normln"/>
      </w:pPr>
      <w:r w:rsidRPr="00A97324">
        <w:t xml:space="preserve">Uvedená stavba vyvolá stavbu přeložky stávajících kabelových vedení VN v majetku ČEZ Distribuce, </w:t>
      </w:r>
      <w:proofErr w:type="gramStart"/>
      <w:r w:rsidRPr="00A97324">
        <w:t>a.s..</w:t>
      </w:r>
      <w:proofErr w:type="gramEnd"/>
      <w:r w:rsidR="00716718">
        <w:t xml:space="preserve"> – není součástí této projektové dokumentace.</w:t>
      </w:r>
    </w:p>
    <w:p w14:paraId="3F545AE8" w14:textId="0C87760A" w:rsidR="00A97324" w:rsidRPr="00A97324" w:rsidRDefault="00A97324" w:rsidP="00384A17">
      <w:pPr>
        <w:pStyle w:val="D1Co-normln"/>
      </w:pPr>
      <w:r w:rsidRPr="00A97324">
        <w:t>Uvedená stavba nemá podmiňující investice.</w:t>
      </w:r>
    </w:p>
    <w:p w14:paraId="0092C3C5" w14:textId="74258284" w:rsidR="00384A17" w:rsidRPr="00A97324" w:rsidRDefault="00384A17" w:rsidP="00384A17">
      <w:pPr>
        <w:pStyle w:val="C2Co-Podsta"/>
      </w:pPr>
      <w:bookmarkStart w:id="31" w:name="_Toc134690177"/>
      <w:r w:rsidRPr="00A97324">
        <w:t>Seznam pozemků podle katastru nemovitostí, na kterých se stavba umísťuje</w:t>
      </w:r>
      <w:bookmarkEnd w:id="31"/>
    </w:p>
    <w:p w14:paraId="5E0CF68A" w14:textId="6003917D" w:rsidR="00384A17" w:rsidRPr="00A97324" w:rsidRDefault="00384A17" w:rsidP="00384A17">
      <w:pPr>
        <w:pStyle w:val="D1Co-normln"/>
      </w:pPr>
      <w:r w:rsidRPr="00A97324">
        <w:t>Všechny dotčené pozemky stavb</w:t>
      </w:r>
      <w:r w:rsidR="00B55947" w:rsidRPr="00A97324">
        <w:t>ou</w:t>
      </w:r>
      <w:r w:rsidRPr="00A97324">
        <w:t xml:space="preserve"> jsou uvedeny v</w:t>
      </w:r>
      <w:r w:rsidR="00B55947" w:rsidRPr="00A97324">
        <w:t> parcelní</w:t>
      </w:r>
      <w:r w:rsidR="00F14947" w:rsidRPr="00A97324">
        <w:t>m</w:t>
      </w:r>
      <w:r w:rsidR="00B55947" w:rsidRPr="00A97324">
        <w:t xml:space="preserve"> protokolu, viz</w:t>
      </w:r>
      <w:r w:rsidRPr="00A97324">
        <w:t> </w:t>
      </w:r>
      <w:r w:rsidR="00346EC5" w:rsidRPr="00A97324">
        <w:t>odstavec</w:t>
      </w:r>
      <w:r w:rsidRPr="00A97324">
        <w:t xml:space="preserve"> </w:t>
      </w:r>
      <w:r w:rsidR="00EE7AA2" w:rsidRPr="00A97324">
        <w:t>B.10</w:t>
      </w:r>
      <w:r w:rsidRPr="00A97324">
        <w:t xml:space="preserve"> Parcelní protokol</w:t>
      </w:r>
      <w:r w:rsidR="00B55947" w:rsidRPr="00A97324">
        <w:t>.</w:t>
      </w:r>
    </w:p>
    <w:p w14:paraId="7A3571E6" w14:textId="3E855ED6" w:rsidR="00B55947" w:rsidRPr="007C025C" w:rsidRDefault="00B55947" w:rsidP="00B55947">
      <w:pPr>
        <w:pStyle w:val="C2Co-Podsta"/>
      </w:pPr>
      <w:bookmarkStart w:id="32" w:name="_Toc134690178"/>
      <w:r w:rsidRPr="007C025C">
        <w:t>Seznam pozemků podle katastru nemovitostí, na kterých vznikne ochranné nebo bezpečnostní pásmo</w:t>
      </w:r>
      <w:bookmarkEnd w:id="32"/>
    </w:p>
    <w:p w14:paraId="616DEDD2" w14:textId="5475481C" w:rsidR="007C025C" w:rsidRPr="007C025C" w:rsidRDefault="00DC460E" w:rsidP="007C025C">
      <w:pPr>
        <w:pStyle w:val="D1Co-normln"/>
        <w:rPr>
          <w:rFonts w:cs="Arial"/>
        </w:rPr>
      </w:pPr>
      <w:r>
        <w:t>Ochranné pásmo v</w:t>
      </w:r>
      <w:r w:rsidR="00B55947" w:rsidRPr="007C025C">
        <w:t> souladu se zákonem č.458/2000 Sb., §46</w:t>
      </w:r>
      <w:r w:rsidR="007C025C" w:rsidRPr="007C025C">
        <w:rPr>
          <w:rFonts w:cs="Arial"/>
        </w:rPr>
        <w:t xml:space="preserve">, </w:t>
      </w:r>
      <w:proofErr w:type="spellStart"/>
      <w:r w:rsidR="007C025C" w:rsidRPr="007C025C">
        <w:rPr>
          <w:rFonts w:cs="Arial"/>
        </w:rPr>
        <w:t>ods</w:t>
      </w:r>
      <w:proofErr w:type="spellEnd"/>
      <w:r w:rsidR="007C025C" w:rsidRPr="007C025C">
        <w:rPr>
          <w:rFonts w:cs="Arial"/>
        </w:rPr>
        <w:t>. 6) písm. C):</w:t>
      </w:r>
    </w:p>
    <w:p w14:paraId="1D941F85" w14:textId="704B8069" w:rsidR="00B55947" w:rsidRDefault="007C025C" w:rsidP="00A95474">
      <w:pPr>
        <w:pStyle w:val="D1Co-normln"/>
        <w:numPr>
          <w:ilvl w:val="0"/>
          <w:numId w:val="36"/>
        </w:numPr>
        <w:rPr>
          <w:rFonts w:cs="Arial"/>
        </w:rPr>
      </w:pPr>
      <w:r w:rsidRPr="007C025C">
        <w:rPr>
          <w:rFonts w:cs="Arial"/>
        </w:rPr>
        <w:t xml:space="preserve">U kompaktních a zděných elektrických stanic s převodem napětí z úrovně 1kV a menší než 52 </w:t>
      </w:r>
      <w:proofErr w:type="spellStart"/>
      <w:r w:rsidRPr="007C025C">
        <w:rPr>
          <w:rFonts w:cs="Arial"/>
        </w:rPr>
        <w:t>kV</w:t>
      </w:r>
      <w:proofErr w:type="spellEnd"/>
      <w:r w:rsidRPr="007C025C">
        <w:rPr>
          <w:rFonts w:cs="Arial"/>
        </w:rPr>
        <w:t xml:space="preserve"> na úroveň nízkého napětí </w:t>
      </w:r>
      <w:proofErr w:type="gramStart"/>
      <w:r w:rsidRPr="007C025C">
        <w:rPr>
          <w:rFonts w:cs="Arial"/>
        </w:rPr>
        <w:t>2m</w:t>
      </w:r>
      <w:proofErr w:type="gramEnd"/>
      <w:r w:rsidRPr="007C025C">
        <w:rPr>
          <w:rFonts w:cs="Arial"/>
        </w:rPr>
        <w:t xml:space="preserve"> od vnějšího pláště stanice ve všech směrech.</w:t>
      </w:r>
    </w:p>
    <w:p w14:paraId="1B8A1D7B" w14:textId="77777777" w:rsidR="006B7926" w:rsidRDefault="006B7926" w:rsidP="006B7926">
      <w:pPr>
        <w:pStyle w:val="D1Co-normln"/>
        <w:ind w:left="1100"/>
        <w:rPr>
          <w:rFonts w:cs="Arial"/>
        </w:rPr>
      </w:pPr>
    </w:p>
    <w:p w14:paraId="455F9A88" w14:textId="54BD1302" w:rsidR="00BA2AA5" w:rsidRPr="00BA2AA5" w:rsidRDefault="00BA2AA5" w:rsidP="00BA2AA5">
      <w:pPr>
        <w:pStyle w:val="D1Co-normln"/>
        <w:rPr>
          <w:rFonts w:cs="Arial"/>
          <w:szCs w:val="24"/>
        </w:rPr>
      </w:pPr>
      <w:r w:rsidRPr="00BA2AA5">
        <w:rPr>
          <w:rFonts w:cs="Arial"/>
          <w:color w:val="000000"/>
          <w:szCs w:val="24"/>
          <w:shd w:val="clear" w:color="auto" w:fill="FFFFFF"/>
        </w:rPr>
        <w:t xml:space="preserve">Ochranné pásmo podzemního vedení elektrizační soustavy do napětí 110 </w:t>
      </w:r>
      <w:proofErr w:type="spellStart"/>
      <w:r w:rsidRPr="00BA2AA5">
        <w:rPr>
          <w:rFonts w:cs="Arial"/>
          <w:color w:val="000000"/>
          <w:szCs w:val="24"/>
          <w:shd w:val="clear" w:color="auto" w:fill="FFFFFF"/>
        </w:rPr>
        <w:t>kV</w:t>
      </w:r>
      <w:proofErr w:type="spellEnd"/>
      <w:r w:rsidRPr="00BA2AA5">
        <w:rPr>
          <w:rFonts w:cs="Arial"/>
          <w:color w:val="000000"/>
          <w:szCs w:val="24"/>
          <w:shd w:val="clear" w:color="auto" w:fill="FFFFFF"/>
        </w:rPr>
        <w:t xml:space="preserve"> včetně a vedení řídicí a zabezpečovací techniky činí 1 m po obou stranách krajního kabelu; u podzemního vedení o napětí nad 110 </w:t>
      </w:r>
      <w:proofErr w:type="spellStart"/>
      <w:r w:rsidRPr="00BA2AA5">
        <w:rPr>
          <w:rFonts w:cs="Arial"/>
          <w:color w:val="000000"/>
          <w:szCs w:val="24"/>
          <w:shd w:val="clear" w:color="auto" w:fill="FFFFFF"/>
        </w:rPr>
        <w:t>kV</w:t>
      </w:r>
      <w:proofErr w:type="spellEnd"/>
      <w:r w:rsidRPr="00BA2AA5">
        <w:rPr>
          <w:rFonts w:cs="Arial"/>
          <w:color w:val="000000"/>
          <w:szCs w:val="24"/>
          <w:shd w:val="clear" w:color="auto" w:fill="FFFFFF"/>
        </w:rPr>
        <w:t xml:space="preserve"> činí 3 m po obou stranách krajního kabelu.</w:t>
      </w:r>
    </w:p>
    <w:p w14:paraId="02FFCE7A" w14:textId="0BE1C383" w:rsidR="00C56CA6" w:rsidRPr="000B2179" w:rsidRDefault="00317CC1" w:rsidP="00F60BF4">
      <w:pPr>
        <w:pStyle w:val="BCo-B1"/>
      </w:pPr>
      <w:bookmarkStart w:id="33" w:name="_Toc459641833"/>
      <w:bookmarkStart w:id="34" w:name="_Toc459703125"/>
      <w:bookmarkStart w:id="35" w:name="_Toc134690179"/>
      <w:r w:rsidRPr="000B2179">
        <w:t>Celkový popis stavby</w:t>
      </w:r>
      <w:bookmarkEnd w:id="33"/>
      <w:bookmarkEnd w:id="34"/>
      <w:bookmarkEnd w:id="35"/>
    </w:p>
    <w:p w14:paraId="6F163C53" w14:textId="6C8562E2" w:rsidR="00B55947" w:rsidRPr="000B2179" w:rsidRDefault="00BB6220" w:rsidP="00427C84">
      <w:pPr>
        <w:pStyle w:val="C1Co-podst"/>
        <w:numPr>
          <w:ilvl w:val="0"/>
          <w:numId w:val="26"/>
        </w:numPr>
        <w:ind w:left="1395" w:hanging="686"/>
      </w:pPr>
      <w:bookmarkStart w:id="36" w:name="_Toc134690180"/>
      <w:r w:rsidRPr="000B2179">
        <w:t>Základní charakteristika stavby a jejího užívání</w:t>
      </w:r>
      <w:bookmarkEnd w:id="36"/>
    </w:p>
    <w:p w14:paraId="2AA0CB47" w14:textId="2DC8C0A8" w:rsidR="008E3EA1" w:rsidRPr="000B2179" w:rsidRDefault="00BB6220" w:rsidP="006B4CC0">
      <w:pPr>
        <w:pStyle w:val="C2Co-Podsta"/>
        <w:numPr>
          <w:ilvl w:val="0"/>
          <w:numId w:val="14"/>
        </w:numPr>
        <w:tabs>
          <w:tab w:val="clear" w:pos="360"/>
        </w:tabs>
        <w:ind w:left="1134" w:hanging="425"/>
        <w:rPr>
          <w:rFonts w:cs="Arial"/>
        </w:rPr>
      </w:pPr>
      <w:bookmarkStart w:id="37" w:name="_Toc134690181"/>
      <w:r w:rsidRPr="000B2179">
        <w:rPr>
          <w:rFonts w:cs="Arial"/>
        </w:rPr>
        <w:t>Nová stavba nebo změna dokončené stavby</w:t>
      </w:r>
      <w:bookmarkEnd w:id="37"/>
    </w:p>
    <w:p w14:paraId="4DD4AB8B" w14:textId="1019F32D" w:rsidR="000B2179" w:rsidRDefault="00BB6220" w:rsidP="004F6989">
      <w:pPr>
        <w:pStyle w:val="D1Co-normln"/>
        <w:outlineLvl w:val="0"/>
        <w:rPr>
          <w:rFonts w:cs="Arial"/>
        </w:rPr>
      </w:pPr>
      <w:r w:rsidRPr="000B2179">
        <w:rPr>
          <w:rFonts w:cs="Arial"/>
        </w:rPr>
        <w:t xml:space="preserve">Jedná se o novou stavbu </w:t>
      </w:r>
      <w:r w:rsidR="000B2179" w:rsidRPr="000B2179">
        <w:rPr>
          <w:rFonts w:cs="Arial"/>
        </w:rPr>
        <w:t>odběratelské transformační stanice a přepojení stávajících kabelových vedení NN.</w:t>
      </w:r>
    </w:p>
    <w:p w14:paraId="4E92B42D" w14:textId="60ED1664" w:rsidR="009978A4" w:rsidRPr="00AC58E8" w:rsidRDefault="009978A4" w:rsidP="004F6989">
      <w:pPr>
        <w:pStyle w:val="D1Co-normln"/>
        <w:outlineLvl w:val="0"/>
        <w:rPr>
          <w:rFonts w:cs="Arial"/>
        </w:rPr>
      </w:pPr>
      <w:r>
        <w:rPr>
          <w:rFonts w:cs="Arial"/>
        </w:rPr>
        <w:t xml:space="preserve">Zastavěná plocha stavbou nové transformační stanice bude </w:t>
      </w:r>
      <w:r w:rsidR="00AC58E8">
        <w:rPr>
          <w:rFonts w:cs="Arial"/>
        </w:rPr>
        <w:t>12,46m</w:t>
      </w:r>
      <w:r w:rsidR="00AC58E8">
        <w:rPr>
          <w:rFonts w:cs="Arial"/>
          <w:vertAlign w:val="superscript"/>
        </w:rPr>
        <w:t>2</w:t>
      </w:r>
      <w:r w:rsidR="00AC58E8">
        <w:rPr>
          <w:rFonts w:cs="Arial"/>
        </w:rPr>
        <w:t>.</w:t>
      </w:r>
    </w:p>
    <w:p w14:paraId="2EDFEB51" w14:textId="5C035CE5" w:rsidR="008E3EA1" w:rsidRPr="000B2179" w:rsidRDefault="00FB4DF3" w:rsidP="00885E84">
      <w:pPr>
        <w:pStyle w:val="C2Co-Podsta"/>
        <w:rPr>
          <w:rFonts w:cs="Arial"/>
        </w:rPr>
      </w:pPr>
      <w:bookmarkStart w:id="38" w:name="_Toc134690182"/>
      <w:r w:rsidRPr="000B2179">
        <w:rPr>
          <w:rFonts w:cs="Arial"/>
        </w:rPr>
        <w:t>Účel užívání stavby</w:t>
      </w:r>
      <w:bookmarkEnd w:id="38"/>
    </w:p>
    <w:p w14:paraId="5F535572" w14:textId="68AFB57C" w:rsidR="008E3EA1" w:rsidRPr="000B2179" w:rsidRDefault="00FB4DF3" w:rsidP="008E3EA1">
      <w:pPr>
        <w:pStyle w:val="D1Co-normln"/>
        <w:rPr>
          <w:rFonts w:cs="Arial"/>
        </w:rPr>
      </w:pPr>
      <w:r w:rsidRPr="000B2179">
        <w:rPr>
          <w:rFonts w:cs="Arial"/>
        </w:rPr>
        <w:t>Účelem stavby je mo</w:t>
      </w:r>
      <w:r w:rsidR="00515F99" w:rsidRPr="000B2179">
        <w:rPr>
          <w:rFonts w:cs="Arial"/>
        </w:rPr>
        <w:t xml:space="preserve">dernizace </w:t>
      </w:r>
      <w:r w:rsidR="000B2179" w:rsidRPr="000B2179">
        <w:rPr>
          <w:rFonts w:cs="Arial"/>
        </w:rPr>
        <w:t>pro zajištění spolehlivé dodávky elektrické energie.</w:t>
      </w:r>
    </w:p>
    <w:p w14:paraId="1B01DA25" w14:textId="130D1936" w:rsidR="008E3EA1" w:rsidRPr="00FA6DAC" w:rsidRDefault="00515F99" w:rsidP="00452A27">
      <w:pPr>
        <w:pStyle w:val="C2Co-Podsta"/>
        <w:rPr>
          <w:rFonts w:cs="Arial"/>
        </w:rPr>
      </w:pPr>
      <w:bookmarkStart w:id="39" w:name="_Toc134690183"/>
      <w:r w:rsidRPr="00FA6DAC">
        <w:rPr>
          <w:rFonts w:cs="Arial"/>
        </w:rPr>
        <w:t>Trvalá nebo dočasná stavba</w:t>
      </w:r>
      <w:bookmarkEnd w:id="39"/>
    </w:p>
    <w:p w14:paraId="311A8E37" w14:textId="5437C852" w:rsidR="008E3EA1" w:rsidRPr="00FA6DAC" w:rsidRDefault="00515F99" w:rsidP="008E3EA1">
      <w:pPr>
        <w:pStyle w:val="D1Co-normln"/>
        <w:rPr>
          <w:rFonts w:cs="Arial"/>
        </w:rPr>
      </w:pPr>
      <w:r w:rsidRPr="00FA6DAC">
        <w:rPr>
          <w:rFonts w:cs="Arial"/>
        </w:rPr>
        <w:t>Jedná se o trvalou stavbu.</w:t>
      </w:r>
    </w:p>
    <w:p w14:paraId="62CEA67A" w14:textId="6B6FF20E" w:rsidR="008E3EA1" w:rsidRPr="00FA6DAC" w:rsidRDefault="00515F99" w:rsidP="00452A27">
      <w:pPr>
        <w:pStyle w:val="C2Co-Podsta"/>
        <w:rPr>
          <w:rFonts w:cs="Arial"/>
        </w:rPr>
      </w:pPr>
      <w:bookmarkStart w:id="40" w:name="_Toc134690184"/>
      <w:r w:rsidRPr="00FA6DAC">
        <w:rPr>
          <w:rFonts w:cs="Arial"/>
        </w:rPr>
        <w:t>Informace o vydaných rozhodnutích o povolení výjimky z technických požadavků na stavby a technických požadavků zabezpečujících bezbariérové užívání stavby</w:t>
      </w:r>
      <w:bookmarkEnd w:id="40"/>
    </w:p>
    <w:p w14:paraId="2CD56FA3" w14:textId="08ED82D4" w:rsidR="008E3EA1" w:rsidRPr="00FA6DAC" w:rsidRDefault="00515F99" w:rsidP="008E3EA1">
      <w:pPr>
        <w:pStyle w:val="D1Co-normln"/>
        <w:rPr>
          <w:rFonts w:cs="Arial"/>
        </w:rPr>
      </w:pPr>
      <w:r w:rsidRPr="00FA6DAC">
        <w:rPr>
          <w:rFonts w:cs="Arial"/>
        </w:rPr>
        <w:t>Energetické stavby tohoto typu nevyžadují bezbariérový přístup.</w:t>
      </w:r>
    </w:p>
    <w:p w14:paraId="1328877A" w14:textId="230660E1" w:rsidR="008E3EA1" w:rsidRPr="00FA6DAC" w:rsidRDefault="00515F99" w:rsidP="00452A27">
      <w:pPr>
        <w:pStyle w:val="C2Co-Podsta"/>
        <w:rPr>
          <w:rFonts w:cs="Arial"/>
        </w:rPr>
      </w:pPr>
      <w:bookmarkStart w:id="41" w:name="_Toc134690185"/>
      <w:r w:rsidRPr="00FA6DAC">
        <w:rPr>
          <w:rFonts w:cs="Arial"/>
        </w:rPr>
        <w:t>Informace o tom, zda a v jakých částech dokumentace jsou zohledněny podmínky závazných stanovisek dotčených orgánů</w:t>
      </w:r>
      <w:bookmarkEnd w:id="41"/>
    </w:p>
    <w:p w14:paraId="3E421B7E" w14:textId="5BF04932" w:rsidR="00515F99" w:rsidRPr="00FA6DAC" w:rsidRDefault="00515F99" w:rsidP="00515F99">
      <w:pPr>
        <w:pStyle w:val="D1Co-normln"/>
      </w:pPr>
      <w:r w:rsidRPr="00FA6DAC">
        <w:t xml:space="preserve">Obdržené požadavky dotčených orgánů jsou v projektové dokumentaci respektovány, viz dokladová část. </w:t>
      </w:r>
    </w:p>
    <w:p w14:paraId="2C34EF10" w14:textId="64B4E640" w:rsidR="00515F99" w:rsidRPr="00FA6DAC" w:rsidRDefault="00515F99" w:rsidP="00515F99">
      <w:pPr>
        <w:pStyle w:val="C2Co-Podsta"/>
      </w:pPr>
      <w:bookmarkStart w:id="42" w:name="_Toc134690186"/>
      <w:r w:rsidRPr="00FA6DAC">
        <w:t>Ochrana stavby podle jiných právní předpisů</w:t>
      </w:r>
      <w:bookmarkEnd w:id="42"/>
    </w:p>
    <w:p w14:paraId="59417A9B" w14:textId="76DC62BA" w:rsidR="00FA6DAC" w:rsidRPr="00FA6DAC" w:rsidRDefault="001F7F64" w:rsidP="00DE7F8F">
      <w:pPr>
        <w:pStyle w:val="D1Co-normln"/>
      </w:pPr>
      <w:r w:rsidRPr="00FA6DAC">
        <w:t>Stavba nepodléhá ochraně podle jiných právní předpisů. Platí zde normy ČSN a zákony</w:t>
      </w:r>
      <w:r w:rsidR="00BE2C39">
        <w:t>.</w:t>
      </w:r>
    </w:p>
    <w:p w14:paraId="58D87643" w14:textId="4893631A" w:rsidR="001F7F64" w:rsidRPr="00D21F09" w:rsidRDefault="001F7F64" w:rsidP="001F7F64">
      <w:pPr>
        <w:pStyle w:val="C2Co-Podsta"/>
      </w:pPr>
      <w:bookmarkStart w:id="43" w:name="_Toc134690187"/>
      <w:r w:rsidRPr="00D21F09">
        <w:lastRenderedPageBreak/>
        <w:t>Navrhované parametry stavby – základní rozměry, maximální množství dopravovaného média apod.</w:t>
      </w:r>
      <w:bookmarkEnd w:id="43"/>
      <w:r w:rsidRPr="00D21F09">
        <w:t xml:space="preserve"> </w:t>
      </w:r>
    </w:p>
    <w:p w14:paraId="594DBF33" w14:textId="6FAF5761" w:rsidR="001F7F64" w:rsidRDefault="001F7F64" w:rsidP="001F7F64">
      <w:pPr>
        <w:pStyle w:val="D1Co-normln"/>
      </w:pPr>
      <w:r w:rsidRPr="00D21F09">
        <w:t>Stavba je navržena jako stavba</w:t>
      </w:r>
      <w:r w:rsidR="00D21F09" w:rsidRPr="00D21F09">
        <w:t xml:space="preserve"> nové odběratelské transformační stanice. Jedná se o novou transformační stanici výrobce </w:t>
      </w:r>
      <w:proofErr w:type="spellStart"/>
      <w:r w:rsidR="00D21F09" w:rsidRPr="00D21F09">
        <w:t>Betonbau</w:t>
      </w:r>
      <w:proofErr w:type="spellEnd"/>
      <w:r w:rsidR="00D21F09" w:rsidRPr="00D21F09">
        <w:t xml:space="preserve"> UF 3042.</w:t>
      </w:r>
      <w:r w:rsidRPr="00D21F09">
        <w:t xml:space="preserve"> </w:t>
      </w:r>
    </w:p>
    <w:p w14:paraId="34B80F17" w14:textId="48C226C2" w:rsidR="00DE7F8F" w:rsidRPr="00DE7F8F" w:rsidRDefault="00DE7F8F" w:rsidP="001F7F64">
      <w:pPr>
        <w:pStyle w:val="D1Co-normln"/>
      </w:pPr>
      <w:r>
        <w:t>Zastavěná plocha nové transformační stanice bude 12,46m</w:t>
      </w:r>
      <w:r>
        <w:rPr>
          <w:vertAlign w:val="superscript"/>
        </w:rPr>
        <w:t>2</w:t>
      </w:r>
      <w:r>
        <w:t>, obestavěný prostor 44,61m</w:t>
      </w:r>
      <w:r w:rsidR="00E95A66">
        <w:rPr>
          <w:vertAlign w:val="superscript"/>
        </w:rPr>
        <w:t>3</w:t>
      </w:r>
      <w:r>
        <w:t>, užitná plocha 10,79m</w:t>
      </w:r>
      <w:r>
        <w:rPr>
          <w:vertAlign w:val="superscript"/>
        </w:rPr>
        <w:t>2</w:t>
      </w:r>
      <w:r>
        <w:t xml:space="preserve"> a hmotnost stanice samotné 14,87t.</w:t>
      </w:r>
    </w:p>
    <w:p w14:paraId="5D4026DF" w14:textId="4813B1F4" w:rsidR="001F7F64" w:rsidRPr="00FC2F38" w:rsidRDefault="001F7F64" w:rsidP="001F7F64">
      <w:pPr>
        <w:pStyle w:val="C2Co-Podsta"/>
      </w:pPr>
      <w:bookmarkStart w:id="44" w:name="_Toc134690188"/>
      <w:r w:rsidRPr="00FC2F38">
        <w:t>Základní bilance stavby – potřeby a spotřeby médií a hmot, hospodaření s dešťovou vodou, celkové produkované množství a druhy odpadů a emisí apod.</w:t>
      </w:r>
      <w:bookmarkEnd w:id="44"/>
      <w:r w:rsidRPr="00FC2F38">
        <w:t xml:space="preserve"> </w:t>
      </w:r>
    </w:p>
    <w:p w14:paraId="369EB6E2" w14:textId="16FB5717" w:rsidR="00393826" w:rsidRPr="00FC2F38" w:rsidRDefault="00393826" w:rsidP="00393826">
      <w:pPr>
        <w:pStyle w:val="D1Co-normln"/>
      </w:pPr>
      <w:r w:rsidRPr="00FC2F38">
        <w:t xml:space="preserve">Zásobování elektrickou energií lze zajistit v místě stavby ze stávající sítě NN nebo mobilních zdrojů, vodní zdroj lze zajistit rovněž v místě stavby, nebo se přiveze cisterna či kanystry s vodou. </w:t>
      </w:r>
    </w:p>
    <w:p w14:paraId="762BCE2C" w14:textId="7B285C61" w:rsidR="00393826" w:rsidRPr="00FC2F38" w:rsidRDefault="00393826" w:rsidP="00393826">
      <w:pPr>
        <w:pStyle w:val="D1Co-normln"/>
      </w:pPr>
      <w:r w:rsidRPr="00FC2F38">
        <w:t xml:space="preserve">Použita technika pro výstavbu: kompresor, pila s diamantovým kotoučem, nakladač, hrabač, autojeřáb, hutnící stroj, plošina, zatahovač a drobná mechanizace a ruční nářadí. Dovoz / odvoz materiálu bude řešen nákladním automobilem. </w:t>
      </w:r>
    </w:p>
    <w:p w14:paraId="17A2E8BA" w14:textId="1F1AF335" w:rsidR="00393826" w:rsidRPr="00B65032" w:rsidRDefault="00CC40EC" w:rsidP="00CC40EC">
      <w:pPr>
        <w:pStyle w:val="C2Co-Podsta"/>
      </w:pPr>
      <w:bookmarkStart w:id="45" w:name="_Toc134690189"/>
      <w:r w:rsidRPr="00B65032">
        <w:t>Základní předpoklady výstavby – časové údaje o realizaci stavby, členění na etapy</w:t>
      </w:r>
      <w:bookmarkEnd w:id="45"/>
    </w:p>
    <w:p w14:paraId="67F10820" w14:textId="3DC2603A" w:rsidR="00CC40EC" w:rsidRPr="00B65032" w:rsidRDefault="00CC40EC" w:rsidP="00CC40EC">
      <w:pPr>
        <w:pStyle w:val="D1Co-normln"/>
      </w:pPr>
      <w:r w:rsidRPr="00B65032">
        <w:t>Vzhledem k rozsahu nebude stavba členěna na etapy.</w:t>
      </w:r>
    </w:p>
    <w:p w14:paraId="64F259AD" w14:textId="2FE83B55" w:rsidR="00CC40EC" w:rsidRPr="00B65032" w:rsidRDefault="00CC40EC" w:rsidP="00CC40EC">
      <w:pPr>
        <w:pStyle w:val="D1Co-normln"/>
      </w:pPr>
      <w:r w:rsidRPr="00B65032">
        <w:t xml:space="preserve">Předpokládané zahájení stavby do dvou let od vydání územního rozhodnutí, které nabylo právní moci. </w:t>
      </w:r>
    </w:p>
    <w:p w14:paraId="7B390677" w14:textId="170C1548" w:rsidR="002D3B5A" w:rsidRPr="00B65032" w:rsidRDefault="002D3B5A" w:rsidP="00CC40EC">
      <w:pPr>
        <w:pStyle w:val="D1Co-normln"/>
      </w:pPr>
      <w:r w:rsidRPr="00B65032">
        <w:t xml:space="preserve">Předpokládána lhůta výstavby je cca </w:t>
      </w:r>
      <w:r w:rsidR="00564E9B" w:rsidRPr="00B65032">
        <w:t>6</w:t>
      </w:r>
      <w:r w:rsidRPr="00B65032">
        <w:t xml:space="preserve"> </w:t>
      </w:r>
      <w:r w:rsidR="00E93EC7" w:rsidRPr="00B65032">
        <w:t>měsíců</w:t>
      </w:r>
      <w:r w:rsidRPr="00B65032">
        <w:t>.</w:t>
      </w:r>
    </w:p>
    <w:p w14:paraId="4BE2B35E" w14:textId="100C6CE3" w:rsidR="002D3B5A" w:rsidRPr="00B65032" w:rsidRDefault="002D3B5A" w:rsidP="002D3B5A">
      <w:pPr>
        <w:pStyle w:val="C2Co-Podsta"/>
      </w:pPr>
      <w:bookmarkStart w:id="46" w:name="_Toc134690190"/>
      <w:r w:rsidRPr="00B65032">
        <w:t>Orientační náklady stavby</w:t>
      </w:r>
      <w:bookmarkEnd w:id="46"/>
    </w:p>
    <w:p w14:paraId="47BA0C71" w14:textId="1005BB8F" w:rsidR="002D3B5A" w:rsidRPr="00B65032" w:rsidRDefault="00B65032" w:rsidP="002D3B5A">
      <w:pPr>
        <w:pStyle w:val="D1Co-normln"/>
      </w:pPr>
      <w:proofErr w:type="gramStart"/>
      <w:r w:rsidRPr="00B65032">
        <w:t>3</w:t>
      </w:r>
      <w:r w:rsidR="00564E9B" w:rsidRPr="00B65032">
        <w:t>.</w:t>
      </w:r>
      <w:r w:rsidRPr="00B65032">
        <w:t>2</w:t>
      </w:r>
      <w:r w:rsidR="00CF4E09" w:rsidRPr="00B65032">
        <w:t>00</w:t>
      </w:r>
      <w:r w:rsidR="00564E9B" w:rsidRPr="00B65032">
        <w:t>.</w:t>
      </w:r>
      <w:r w:rsidR="00CF4E09" w:rsidRPr="00B65032">
        <w:t>000</w:t>
      </w:r>
      <w:r w:rsidR="00564E9B" w:rsidRPr="00B65032">
        <w:t>,-</w:t>
      </w:r>
      <w:proofErr w:type="gramEnd"/>
      <w:r w:rsidR="002D3B5A" w:rsidRPr="00B65032">
        <w:t xml:space="preserve"> Kč</w:t>
      </w:r>
    </w:p>
    <w:p w14:paraId="4FD8C9F5" w14:textId="59F304E7" w:rsidR="002D3B5A" w:rsidRPr="004D4E95" w:rsidRDefault="002D3B5A" w:rsidP="00427C84">
      <w:pPr>
        <w:pStyle w:val="C1Co-podst"/>
        <w:numPr>
          <w:ilvl w:val="0"/>
          <w:numId w:val="26"/>
        </w:numPr>
        <w:ind w:left="1395" w:hanging="686"/>
      </w:pPr>
      <w:bookmarkStart w:id="47" w:name="_Toc134690191"/>
      <w:r w:rsidRPr="004D4E95">
        <w:t>Bezpečnost při užívání stavby</w:t>
      </w:r>
      <w:bookmarkEnd w:id="47"/>
    </w:p>
    <w:p w14:paraId="7FF7AE93" w14:textId="30081FF1" w:rsidR="00386251" w:rsidRPr="004D4E95" w:rsidRDefault="00386251" w:rsidP="00386251">
      <w:pPr>
        <w:pStyle w:val="D1Co-normln"/>
      </w:pPr>
      <w:bookmarkStart w:id="48" w:name="_Hlk15905872"/>
      <w:r w:rsidRPr="004D4E95">
        <w:t>Stavba při respektování zákonných předpisů a norem pro tuto činnost neohrožuje při výstavbě, ani při provozu zdraví pracovníků.</w:t>
      </w:r>
    </w:p>
    <w:p w14:paraId="5BF1331D" w14:textId="3544EAC9" w:rsidR="00386251" w:rsidRPr="004D4E95" w:rsidRDefault="00386251" w:rsidP="00386251">
      <w:pPr>
        <w:pStyle w:val="D1Co-normln"/>
      </w:pPr>
      <w:r w:rsidRPr="004D4E95">
        <w:t>Elektrické zařízení je jedno z vyhrazených technických zařízení, při jehož provozu musí být dodržena opatření k zajištění bezpečnosti osob a majetku. Obsluha a práce na elektrickém zařízení bude prováděna dle příslušných ČSN, především ČSN EN 50110</w:t>
      </w:r>
      <w:r w:rsidR="000D7D88" w:rsidRPr="004D4E95">
        <w:t>-1 ed.2</w:t>
      </w:r>
      <w:r w:rsidRPr="004D4E95">
        <w:t xml:space="preserve"> a násl., PNE 33 0000-6 a řádu preventivní údržby ČEZ Distribuce, a.s. </w:t>
      </w:r>
    </w:p>
    <w:p w14:paraId="4F42C729" w14:textId="23B14485" w:rsidR="00386251" w:rsidRPr="004D4E95" w:rsidRDefault="00386251" w:rsidP="00386251">
      <w:pPr>
        <w:pStyle w:val="D1Co-normln"/>
        <w:spacing w:after="60"/>
      </w:pPr>
      <w:r w:rsidRPr="004D4E95">
        <w:t>Ochrana před úrazem elektrickým proudem je provedena dle ČSN 33 2000-4-41 ed.</w:t>
      </w:r>
      <w:r w:rsidR="000D7D88" w:rsidRPr="004D4E95">
        <w:t>3</w:t>
      </w:r>
      <w:r w:rsidRPr="004D4E95">
        <w:t xml:space="preserve"> a PNE 33 0000-1 (šesté vydání).</w:t>
      </w:r>
    </w:p>
    <w:p w14:paraId="4FDF51C0" w14:textId="77777777" w:rsidR="00386251" w:rsidRPr="00291298" w:rsidRDefault="00386251" w:rsidP="00386251">
      <w:pPr>
        <w:pStyle w:val="D1Co-normln"/>
        <w:spacing w:after="60"/>
      </w:pPr>
      <w:r w:rsidRPr="00291298">
        <w:t>Základní ochrana:</w:t>
      </w:r>
    </w:p>
    <w:p w14:paraId="45501521" w14:textId="77777777" w:rsidR="00386251" w:rsidRPr="00291298" w:rsidRDefault="00386251" w:rsidP="00386251">
      <w:pPr>
        <w:pStyle w:val="D1Co-normln"/>
      </w:pPr>
      <w:r w:rsidRPr="00291298">
        <w:t>polohou (dle PNE 33 0000-1 čl. 3.2.2.1)</w:t>
      </w:r>
    </w:p>
    <w:p w14:paraId="2C477FC9" w14:textId="77777777" w:rsidR="00386251" w:rsidRPr="00291298" w:rsidRDefault="00386251" w:rsidP="00386251">
      <w:pPr>
        <w:pStyle w:val="D1Co-normln"/>
      </w:pPr>
      <w:r w:rsidRPr="00291298">
        <w:t>zábranou (dle PNE 33 0000-1 čl. 3.2.2.2)</w:t>
      </w:r>
    </w:p>
    <w:p w14:paraId="4DFE11F8" w14:textId="77777777" w:rsidR="00386251" w:rsidRPr="00291298" w:rsidRDefault="00386251" w:rsidP="00386251">
      <w:pPr>
        <w:pStyle w:val="D1Co-normln"/>
      </w:pPr>
      <w:r w:rsidRPr="00291298">
        <w:t>přepážkami nebo kryty (dle PNE 33 0000-1 čl. 3.2.2.3)</w:t>
      </w:r>
    </w:p>
    <w:p w14:paraId="270429AB" w14:textId="77777777" w:rsidR="00386251" w:rsidRPr="00291298" w:rsidRDefault="00386251" w:rsidP="00386251">
      <w:pPr>
        <w:pStyle w:val="D1Co-normln"/>
      </w:pPr>
      <w:r w:rsidRPr="00291298">
        <w:t>izolací živých částí (dle PNE 33 0000-1 čl. 3.2.2.4)</w:t>
      </w:r>
    </w:p>
    <w:p w14:paraId="65BF3F0A" w14:textId="719B63E7" w:rsidR="00386251" w:rsidRPr="00291298" w:rsidRDefault="00386251" w:rsidP="00386251">
      <w:pPr>
        <w:pStyle w:val="D1Co-normln"/>
      </w:pPr>
      <w:r w:rsidRPr="00291298">
        <w:t>Zařízení NN: automatickým odpojením od zdroje dle ČSN 2000-4-41 ed.</w:t>
      </w:r>
      <w:r w:rsidR="000D7D88" w:rsidRPr="00291298">
        <w:t>3</w:t>
      </w:r>
      <w:r w:rsidRPr="00291298">
        <w:t xml:space="preserve"> čl. 411 a PNE 33 0000-1 (</w:t>
      </w:r>
      <w:r w:rsidR="0092164B" w:rsidRPr="00291298">
        <w:t xml:space="preserve">šesté </w:t>
      </w:r>
      <w:r w:rsidRPr="00291298">
        <w:t>vydání) čl. 3.3.3 Podmínky pro použití ochrany automatickým odpojením od zdroje v sítích TN</w:t>
      </w:r>
    </w:p>
    <w:p w14:paraId="74E24C21" w14:textId="77777777" w:rsidR="00386251" w:rsidRPr="00291298" w:rsidRDefault="00386251" w:rsidP="00386251">
      <w:pPr>
        <w:pStyle w:val="D1Co-normln"/>
      </w:pPr>
      <w:r w:rsidRPr="00291298">
        <w:t>Zařízení VN: Ochrana před nebezpečným dotykem neživých částí rozvodných elektrických zařízení nad 1000 V podle PNE 33 0000-1 odst. 3.4 Ochrana zemněním v sítích, kde není přímo uzemněný střed zdroje.</w:t>
      </w:r>
    </w:p>
    <w:p w14:paraId="288F849A" w14:textId="77777777" w:rsidR="00386251" w:rsidRPr="00291298" w:rsidRDefault="00386251" w:rsidP="00386251">
      <w:pPr>
        <w:pStyle w:val="D1Co-normln"/>
      </w:pPr>
      <w:r w:rsidRPr="00291298">
        <w:lastRenderedPageBreak/>
        <w:t>Ochrana v sítích IT – u zařízení VN 3x22 000 V, 50 Hz – ZEMNĚNÍM</w:t>
      </w:r>
    </w:p>
    <w:p w14:paraId="24DED01A" w14:textId="77777777" w:rsidR="00386251" w:rsidRPr="00291298" w:rsidRDefault="00386251" w:rsidP="00386251">
      <w:pPr>
        <w:pStyle w:val="D1Co-normln"/>
      </w:pPr>
      <w:r w:rsidRPr="00291298">
        <w:t>Zamezení přístupu osob bez elektrické kvalifikace k živým částem bude provedeno kryty, zajištěnými energetickými zámky (uzavíracím zařízením).</w:t>
      </w:r>
    </w:p>
    <w:p w14:paraId="12E24C37" w14:textId="77777777" w:rsidR="00386251" w:rsidRPr="00291298" w:rsidRDefault="00386251" w:rsidP="00386251">
      <w:pPr>
        <w:pStyle w:val="D1Co-normln"/>
      </w:pPr>
      <w:r w:rsidRPr="00291298">
        <w:t>Provoz dokončeného elektrického zařízení je možný až na základě kladné výchozí revize zařízení a kolaudaci stavby při dodržení platných zákonů, vyhlášek, nařízení, ČSN a PNE. Bezpečnost elektrotechnických zařízení je dána ustanoveními ČSN a PNE. Jedná se zejména o:</w:t>
      </w:r>
    </w:p>
    <w:p w14:paraId="0E929A7F" w14:textId="54B8BA48" w:rsidR="00386251" w:rsidRPr="00291298" w:rsidRDefault="00386251" w:rsidP="00386251">
      <w:pPr>
        <w:pStyle w:val="D1Co-normln"/>
      </w:pPr>
      <w:r w:rsidRPr="00291298">
        <w:t xml:space="preserve">PNE 33 0000-1 (Ochrana před úrazem elektrickým proudem v distribuční soustavě dodavatele elektřiny) </w:t>
      </w:r>
      <w:r w:rsidR="0073582C" w:rsidRPr="00291298">
        <w:t>šesté</w:t>
      </w:r>
      <w:r w:rsidRPr="00291298">
        <w:t xml:space="preserve"> vydání v návaznosti na ČSN 33 2000-4-41 ed.</w:t>
      </w:r>
      <w:r w:rsidR="000D7D88" w:rsidRPr="00291298">
        <w:t>3</w:t>
      </w:r>
      <w:r w:rsidRPr="00291298">
        <w:t>) – v aktualizovaném znění</w:t>
      </w:r>
    </w:p>
    <w:p w14:paraId="293DBCAD" w14:textId="38285924" w:rsidR="00386251" w:rsidRPr="00291298" w:rsidRDefault="00386251" w:rsidP="00386251">
      <w:pPr>
        <w:pStyle w:val="D1Co-normln"/>
      </w:pPr>
      <w:r w:rsidRPr="00291298">
        <w:t>ČSN 33 2000-4-41 ed.</w:t>
      </w:r>
      <w:r w:rsidR="006608EA" w:rsidRPr="00291298">
        <w:t>3</w:t>
      </w:r>
      <w:r w:rsidRPr="00291298">
        <w:t xml:space="preserve"> </w:t>
      </w:r>
      <w:r w:rsidR="0021007D" w:rsidRPr="00291298">
        <w:t>(</w:t>
      </w:r>
      <w:r w:rsidR="00AD2A37" w:rsidRPr="00291298">
        <w:t>332000) Elektrické instalace nízkého napětí – Část 4-41: Ochranná opatření pro zajištění bezpečnosti – Ochrana před úrazem elektrickým proudem</w:t>
      </w:r>
    </w:p>
    <w:p w14:paraId="407BF7B6" w14:textId="77777777" w:rsidR="00386251" w:rsidRPr="00291298" w:rsidRDefault="00386251" w:rsidP="00386251">
      <w:pPr>
        <w:pStyle w:val="D1Co-normln"/>
      </w:pPr>
      <w:r w:rsidRPr="00291298">
        <w:t>ČSN 33 2000-5-51 (Elektrotechnické předpisy – Elektrická zařízení – Část 5: Výběr a stavba elektrických zařízení – Kapitola 52: Výběr soustav a stavba vedení) včetně změny Z1 – v aktualizovaném znění</w:t>
      </w:r>
    </w:p>
    <w:p w14:paraId="6EDAEA2A" w14:textId="77777777" w:rsidR="00386251" w:rsidRPr="00291298" w:rsidRDefault="00386251" w:rsidP="00386251">
      <w:pPr>
        <w:pStyle w:val="D1Co-normln"/>
      </w:pPr>
      <w:r w:rsidRPr="00291298">
        <w:t>ČSN 33 2000-5-52 (Elektrotechnické předpisy, Elektrická zařízení-Část 5: Výběr a stavba elektrických zařízení – Kapitola 52: Výběr soustav a stavba vedení) včetně změny Z1 – v aktualizovaném znění</w:t>
      </w:r>
    </w:p>
    <w:p w14:paraId="5F56406C" w14:textId="77777777" w:rsidR="00386251" w:rsidRPr="00291298" w:rsidRDefault="00386251" w:rsidP="00386251">
      <w:pPr>
        <w:pStyle w:val="D1Co-normln"/>
      </w:pPr>
      <w:r w:rsidRPr="00291298">
        <w:t>ČSN 33 2000-5-54 (Elektrotechnické předpisy, Elektrická zařízení-Část 5: Výběr a stavba elektrických zařízení – Kapitola 54: Uzemnění a ochranné vodiče) vč. opravy 1 a změny Z1 – v aktualizovaném znění</w:t>
      </w:r>
    </w:p>
    <w:p w14:paraId="0AF2501F" w14:textId="77777777" w:rsidR="00386251" w:rsidRPr="00291298" w:rsidRDefault="00386251" w:rsidP="00386251">
      <w:pPr>
        <w:pStyle w:val="D1Co-normln"/>
      </w:pPr>
      <w:r w:rsidRPr="00291298">
        <w:t>ČSN 33 3051 (Ochrany elektrických strojů a rozvodných zařízeních) včetně změny Z1 – v aktualizovaném znění</w:t>
      </w:r>
    </w:p>
    <w:p w14:paraId="0CF8636C" w14:textId="77777777" w:rsidR="00386251" w:rsidRPr="00291298" w:rsidRDefault="00386251" w:rsidP="00386251">
      <w:pPr>
        <w:pStyle w:val="D1Co-normln"/>
      </w:pPr>
      <w:r w:rsidRPr="00291298">
        <w:t xml:space="preserve">PNE  33 3201 Elektrické instalace – navrhování a stavba elektrických stanic nad 1 </w:t>
      </w:r>
      <w:proofErr w:type="spellStart"/>
      <w:r w:rsidRPr="00291298">
        <w:t>kV</w:t>
      </w:r>
      <w:proofErr w:type="spellEnd"/>
      <w:r w:rsidRPr="00291298">
        <w:t xml:space="preserve"> AC pro DS a PS – v aktualizovaném znění</w:t>
      </w:r>
    </w:p>
    <w:p w14:paraId="2AADF408" w14:textId="77777777" w:rsidR="00386251" w:rsidRPr="00291298" w:rsidRDefault="00386251" w:rsidP="00386251">
      <w:pPr>
        <w:pStyle w:val="D1Co-normln"/>
      </w:pPr>
      <w:r w:rsidRPr="00291298">
        <w:t>PNE 33 3301 Elektrická venkovní vedení s napětím nad 1kV AC do 45kV včetně – v aktualizovaném znění</w:t>
      </w:r>
    </w:p>
    <w:p w14:paraId="6E77B0E5" w14:textId="77777777" w:rsidR="00386251" w:rsidRPr="00291298" w:rsidRDefault="00386251" w:rsidP="00386251">
      <w:pPr>
        <w:pStyle w:val="D1Co-normln"/>
      </w:pPr>
      <w:r w:rsidRPr="00291298">
        <w:t>ČSN 73 6133 Návrh a provádění zemního tělesa pozemních komunikací – v aktualizovaném znění</w:t>
      </w:r>
    </w:p>
    <w:p w14:paraId="00CA20CE" w14:textId="2F8D9600" w:rsidR="00386251" w:rsidRPr="00291298" w:rsidRDefault="00386251" w:rsidP="00386251">
      <w:pPr>
        <w:pStyle w:val="D1Co-normln"/>
      </w:pPr>
      <w:r w:rsidRPr="00291298">
        <w:t>ČSN 73 6005 (Prostorové uspořádání sítí technického vybavení)</w:t>
      </w:r>
      <w:r w:rsidR="006608EA" w:rsidRPr="00291298">
        <w:t xml:space="preserve"> </w:t>
      </w:r>
      <w:r w:rsidRPr="00291298">
        <w:t>– v aktualizovaném znění</w:t>
      </w:r>
    </w:p>
    <w:p w14:paraId="6559299E" w14:textId="77777777" w:rsidR="00386251" w:rsidRPr="00291298" w:rsidRDefault="00386251" w:rsidP="00386251">
      <w:pPr>
        <w:pStyle w:val="D1Co-normln"/>
      </w:pPr>
      <w:r w:rsidRPr="00291298">
        <w:t>ČSN 75 2130 Křížení a souběhy vodních toků s dráhami, pozemními komunikacemi a vedeními</w:t>
      </w:r>
    </w:p>
    <w:p w14:paraId="289E87BD" w14:textId="77777777" w:rsidR="00386251" w:rsidRPr="00291298" w:rsidRDefault="00386251" w:rsidP="00386251">
      <w:pPr>
        <w:pStyle w:val="D1Co-normln"/>
      </w:pPr>
      <w:r w:rsidRPr="00291298">
        <w:t>ČSN 75 4030 Křížení a souběhy melioračních zařízení s dráhami, pozemními komunikacemi a vedeními</w:t>
      </w:r>
    </w:p>
    <w:p w14:paraId="64CA2DD5" w14:textId="77777777" w:rsidR="00386251" w:rsidRPr="00291298" w:rsidRDefault="00386251" w:rsidP="00386251">
      <w:pPr>
        <w:pStyle w:val="D1Co-normln"/>
      </w:pPr>
      <w:r w:rsidRPr="00291298">
        <w:t>ČSN 83 9061 Technologie vegetačních úprav v krajině – Ochrana stromů, porostů a vegetačních ploch při stavebních pracích</w:t>
      </w:r>
    </w:p>
    <w:p w14:paraId="3B4D2BDB" w14:textId="3B86BC56" w:rsidR="00386251" w:rsidRPr="00291298" w:rsidRDefault="00386251" w:rsidP="00386251">
      <w:pPr>
        <w:pStyle w:val="D1Co-normln"/>
      </w:pPr>
      <w:r w:rsidRPr="00291298">
        <w:t>ČSN EN 6</w:t>
      </w:r>
      <w:r w:rsidR="006608EA" w:rsidRPr="00291298">
        <w:t>2271-202 ed.2</w:t>
      </w:r>
      <w:r w:rsidRPr="00291298">
        <w:t xml:space="preserve"> (3</w:t>
      </w:r>
      <w:r w:rsidR="006608EA" w:rsidRPr="00291298">
        <w:t>5</w:t>
      </w:r>
      <w:r w:rsidRPr="00291298">
        <w:t> </w:t>
      </w:r>
      <w:r w:rsidR="006608EA" w:rsidRPr="00291298">
        <w:t>7181</w:t>
      </w:r>
      <w:r w:rsidRPr="00291298">
        <w:t xml:space="preserve">) </w:t>
      </w:r>
      <w:r w:rsidR="006608EA" w:rsidRPr="00291298">
        <w:t xml:space="preserve">Vysokonapěťová spínací a řídící zařízení – Část 202: Blokové transformovny </w:t>
      </w:r>
      <w:proofErr w:type="spellStart"/>
      <w:r w:rsidR="006608EA" w:rsidRPr="00291298">
        <w:t>vn</w:t>
      </w:r>
      <w:proofErr w:type="spellEnd"/>
      <w:r w:rsidRPr="00291298">
        <w:t>/</w:t>
      </w:r>
      <w:proofErr w:type="spellStart"/>
      <w:r w:rsidRPr="00291298">
        <w:t>nn</w:t>
      </w:r>
      <w:proofErr w:type="spellEnd"/>
    </w:p>
    <w:p w14:paraId="1A98447B" w14:textId="466A3FF4" w:rsidR="00386251" w:rsidRPr="00291298" w:rsidRDefault="00386251" w:rsidP="00386251">
      <w:pPr>
        <w:pStyle w:val="D1Co-normln"/>
      </w:pPr>
      <w:r w:rsidRPr="00291298">
        <w:t xml:space="preserve">VYHLÁŠKA </w:t>
      </w:r>
      <w:r w:rsidR="00826592" w:rsidRPr="00291298">
        <w:t>Č. 359</w:t>
      </w:r>
      <w:r w:rsidRPr="00291298">
        <w:t>/20</w:t>
      </w:r>
      <w:r w:rsidR="00826592" w:rsidRPr="00291298">
        <w:t>20</w:t>
      </w:r>
      <w:r w:rsidRPr="00291298">
        <w:t xml:space="preserve"> Sb.</w:t>
      </w:r>
      <w:r w:rsidR="00826592" w:rsidRPr="00291298">
        <w:t xml:space="preserve"> Vyhláška o měření elektřiny</w:t>
      </w:r>
    </w:p>
    <w:p w14:paraId="5E87E6F1" w14:textId="77777777" w:rsidR="00386251" w:rsidRPr="00291298" w:rsidRDefault="00386251" w:rsidP="00386251">
      <w:pPr>
        <w:pStyle w:val="D1Co-normln"/>
      </w:pPr>
      <w:r w:rsidRPr="00291298">
        <w:t>NAŘÍZENÍ VLÁDY číslo 272/2011–o ochraně zdraví před nepříznivými účinky hluku a vibrací</w:t>
      </w:r>
    </w:p>
    <w:p w14:paraId="1EB3979A" w14:textId="77777777" w:rsidR="00386251" w:rsidRPr="00291298" w:rsidRDefault="00386251" w:rsidP="00386251">
      <w:pPr>
        <w:pStyle w:val="D1Co-normln"/>
      </w:pPr>
      <w:r w:rsidRPr="00291298">
        <w:t>a další související ČSN, PNE, nařízení vlády a vyhlášky</w:t>
      </w:r>
    </w:p>
    <w:p w14:paraId="6ACB9F92" w14:textId="77777777" w:rsidR="00386251" w:rsidRPr="00291298" w:rsidRDefault="00386251" w:rsidP="00386251">
      <w:pPr>
        <w:pStyle w:val="D1Co-normln"/>
      </w:pPr>
      <w:r w:rsidRPr="00291298">
        <w:t xml:space="preserve">Beznapěťový stav distribučního energetického zařízení </w:t>
      </w:r>
      <w:proofErr w:type="spellStart"/>
      <w:r w:rsidRPr="00291298">
        <w:t>kNN</w:t>
      </w:r>
      <w:proofErr w:type="spellEnd"/>
      <w:r w:rsidRPr="00291298">
        <w:t xml:space="preserve">, </w:t>
      </w:r>
      <w:proofErr w:type="spellStart"/>
      <w:r w:rsidRPr="00291298">
        <w:t>kVN</w:t>
      </w:r>
      <w:proofErr w:type="spellEnd"/>
      <w:r w:rsidRPr="00291298">
        <w:t xml:space="preserve"> a TS 22/0,4 </w:t>
      </w:r>
      <w:proofErr w:type="spellStart"/>
      <w:r w:rsidRPr="00291298">
        <w:t>kV</w:t>
      </w:r>
      <w:proofErr w:type="spellEnd"/>
      <w:r w:rsidRPr="00291298">
        <w:t xml:space="preserve"> zajišťuje poruchová služba ČEZ Distribuce a.s., Plzeň, Guldenerova 2577/19, 326 00 Plzeň.</w:t>
      </w:r>
    </w:p>
    <w:p w14:paraId="20B59FD3" w14:textId="77777777" w:rsidR="00386251" w:rsidRPr="00291298" w:rsidRDefault="00386251" w:rsidP="00386251">
      <w:pPr>
        <w:pStyle w:val="D1Co-normln"/>
      </w:pPr>
      <w:r w:rsidRPr="00291298">
        <w:t xml:space="preserve">Podle ustanovení §158 zákona č.183/2006 (Stavební zákon – dále jen SZ) v platném znění </w:t>
      </w:r>
      <w:proofErr w:type="gramStart"/>
      <w:r w:rsidRPr="00291298">
        <w:t>patří</w:t>
      </w:r>
      <w:proofErr w:type="gramEnd"/>
      <w:r w:rsidRPr="00291298">
        <w:t xml:space="preserve"> odborné vedení provádění stavby nebo její změny do </w:t>
      </w:r>
      <w:r w:rsidRPr="00291298">
        <w:lastRenderedPageBreak/>
        <w:t>vybraných činností ve výstavbě. Zhotovitel musí podle §160 SZ zajistit odborné vedení provádění stavby, provádět stavbu v souladu s rozhodnutími a s ověřenou projektovou dokumentací, musí dodržovat obecné technické požadavky na výstavbu i jiné předpisy a technické normy, dále musí zajistit dodržování povinností k ochraně života, zdraví, životního prostředí a bezpečnosti práce.</w:t>
      </w:r>
    </w:p>
    <w:p w14:paraId="2F0CC324" w14:textId="01A03AB2" w:rsidR="00D656E3" w:rsidRPr="00500543" w:rsidRDefault="00D656E3" w:rsidP="00427C84">
      <w:pPr>
        <w:pStyle w:val="C1Co-podst"/>
        <w:numPr>
          <w:ilvl w:val="0"/>
          <w:numId w:val="26"/>
        </w:numPr>
        <w:ind w:hanging="691"/>
      </w:pPr>
      <w:bookmarkStart w:id="49" w:name="_Toc134690192"/>
      <w:bookmarkEnd w:id="48"/>
      <w:r w:rsidRPr="00500543">
        <w:t>Základní technicky popis staveb</w:t>
      </w:r>
      <w:bookmarkEnd w:id="49"/>
    </w:p>
    <w:p w14:paraId="7AF86493" w14:textId="106D61FE" w:rsidR="00D656E3" w:rsidRPr="00500543" w:rsidRDefault="00D656E3" w:rsidP="00D656E3">
      <w:pPr>
        <w:pStyle w:val="D1Co-normln"/>
      </w:pPr>
      <w:r w:rsidRPr="00500543">
        <w:t>Stavba obsahuje</w:t>
      </w:r>
      <w:r w:rsidR="00642135" w:rsidRPr="00500543">
        <w:t xml:space="preserve"> stavební a provozní</w:t>
      </w:r>
      <w:r w:rsidR="00E638B2" w:rsidRPr="00500543">
        <w:t xml:space="preserve"> objekty pro výstavbu nové odběratelské transformační stanice BE_0330 Hořovice Zimní stadion a </w:t>
      </w:r>
      <w:r w:rsidR="00DC7710" w:rsidRPr="00500543">
        <w:t>přepojení stáv</w:t>
      </w:r>
      <w:r w:rsidR="00500543" w:rsidRPr="00500543">
        <w:t>ajících kabelových vedení NN.</w:t>
      </w:r>
    </w:p>
    <w:p w14:paraId="7C6BA6E6" w14:textId="17A27F55" w:rsidR="004B17E7" w:rsidRPr="008C28D6" w:rsidRDefault="004B17E7" w:rsidP="00427C84">
      <w:pPr>
        <w:pStyle w:val="C1Co-podst"/>
        <w:numPr>
          <w:ilvl w:val="0"/>
          <w:numId w:val="26"/>
        </w:numPr>
        <w:ind w:hanging="691"/>
      </w:pPr>
      <w:bookmarkStart w:id="50" w:name="_Toc134690193"/>
      <w:r w:rsidRPr="008C28D6">
        <w:t>Základní popis technických a technologických zařízení</w:t>
      </w:r>
      <w:bookmarkEnd w:id="50"/>
    </w:p>
    <w:p w14:paraId="4FFBA99C" w14:textId="17700C99" w:rsidR="004B17E7" w:rsidRPr="00735EFB" w:rsidRDefault="004B17E7" w:rsidP="004B17E7">
      <w:pPr>
        <w:pStyle w:val="D1Co-normln"/>
        <w:spacing w:after="60"/>
      </w:pPr>
      <w:r w:rsidRPr="00735EFB">
        <w:t xml:space="preserve">SO 01 – </w:t>
      </w:r>
      <w:r w:rsidR="008C28D6" w:rsidRPr="00735EFB">
        <w:t>Nová transformační stanice – stavební část</w:t>
      </w:r>
    </w:p>
    <w:p w14:paraId="2C3045EA" w14:textId="63089332" w:rsidR="004B17E7" w:rsidRDefault="00B220EA" w:rsidP="005F1B43">
      <w:pPr>
        <w:pStyle w:val="D1Co-normln"/>
        <w:numPr>
          <w:ilvl w:val="0"/>
          <w:numId w:val="28"/>
        </w:numPr>
        <w:spacing w:after="120"/>
        <w:ind w:left="1775" w:hanging="357"/>
      </w:pPr>
      <w:r w:rsidRPr="00735EFB">
        <w:t xml:space="preserve">V rámci uvedeného stavebního objektu dojde </w:t>
      </w:r>
      <w:r w:rsidR="008F390D" w:rsidRPr="00735EFB">
        <w:t>k</w:t>
      </w:r>
      <w:r w:rsidR="004D2051" w:rsidRPr="00735EFB">
        <w:t xml:space="preserve"> osazení nového kiosku nové transformační stanice do terénu a vybudování nového uzemnění </w:t>
      </w:r>
      <w:r w:rsidR="00DB5F19" w:rsidRPr="00735EFB">
        <w:t>transformační stanice.</w:t>
      </w:r>
      <w:r w:rsidR="00887742" w:rsidRPr="00735EFB">
        <w:t xml:space="preserve"> Do terénu bude osazen kiosek UF 3042 výrobce </w:t>
      </w:r>
      <w:proofErr w:type="spellStart"/>
      <w:r w:rsidR="00887742" w:rsidRPr="00735EFB">
        <w:t>Betonbau</w:t>
      </w:r>
      <w:proofErr w:type="spellEnd"/>
      <w:r w:rsidR="00484A3A" w:rsidRPr="00735EFB">
        <w:t xml:space="preserve"> v</w:t>
      </w:r>
      <w:r w:rsidR="007946EA" w:rsidRPr="00735EFB">
        <w:t xml:space="preserve">e standardním barevném provedení </w:t>
      </w:r>
      <w:r w:rsidR="00DF3A14" w:rsidRPr="00735EFB">
        <w:t>–</w:t>
      </w:r>
      <w:r w:rsidR="007946EA" w:rsidRPr="00735EFB">
        <w:t xml:space="preserve"> </w:t>
      </w:r>
      <w:r w:rsidR="00DF3A14" w:rsidRPr="00735EFB">
        <w:t>střecha RAL 8003 (hnědá), stěny RA</w:t>
      </w:r>
      <w:r w:rsidR="00482FD2">
        <w:t>L</w:t>
      </w:r>
      <w:r w:rsidR="00DF3A14" w:rsidRPr="00735EFB">
        <w:t xml:space="preserve"> 1002 (pískově žlutá), sokl RAL 8003 (hnědá)</w:t>
      </w:r>
      <w:r w:rsidR="000C7DFB" w:rsidRPr="00735EFB">
        <w:t>. Uzemnění bude zřízen</w:t>
      </w:r>
      <w:r w:rsidR="003F4FD8">
        <w:t>o</w:t>
      </w:r>
      <w:r w:rsidR="000C7DFB" w:rsidRPr="00735EFB">
        <w:t xml:space="preserve"> pomocí třech ekvipotencionálních prahů. Dále bude </w:t>
      </w:r>
      <w:r w:rsidR="00C01414" w:rsidRPr="00735EFB">
        <w:t>kolem transformační stanice zřízena jedna řada betonové dlažby 50x50cm.</w:t>
      </w:r>
    </w:p>
    <w:p w14:paraId="5B03E31E" w14:textId="7DF0B8C4" w:rsidR="002D072D" w:rsidRDefault="002D072D" w:rsidP="005F1B43">
      <w:pPr>
        <w:pStyle w:val="D1Co-normln"/>
        <w:numPr>
          <w:ilvl w:val="0"/>
          <w:numId w:val="28"/>
        </w:numPr>
        <w:spacing w:after="120"/>
        <w:ind w:left="1775" w:hanging="357"/>
      </w:pPr>
      <w:r>
        <w:t xml:space="preserve">Pro umístění stavební části transformační stanice bude muset dojít k dočasné přeložce stávajícího kabelového vedení VN, pro uvolnění prostoru. Přeložku kabelových vedení VN řeší samostatná stavba investora ČEZ </w:t>
      </w:r>
      <w:proofErr w:type="spellStart"/>
      <w:proofErr w:type="gramStart"/>
      <w:r>
        <w:t>Distribuce,a.s</w:t>
      </w:r>
      <w:proofErr w:type="spellEnd"/>
      <w:r>
        <w:t>.</w:t>
      </w:r>
      <w:proofErr w:type="gramEnd"/>
      <w:r>
        <w:t>, kdy v rámci této stavby je uvažováno s materiálem pro ochranu kabelového vedení VN.</w:t>
      </w:r>
    </w:p>
    <w:p w14:paraId="72F836D6" w14:textId="799F48F5" w:rsidR="004F2859" w:rsidRDefault="000821D5" w:rsidP="000821D5">
      <w:pPr>
        <w:pStyle w:val="D1Co-normln"/>
        <w:spacing w:after="120"/>
      </w:pPr>
      <w:r>
        <w:t>SO 02 – Kabelová vedení NN</w:t>
      </w:r>
    </w:p>
    <w:p w14:paraId="6EBED40A" w14:textId="7DCDD47E" w:rsidR="000821D5" w:rsidRDefault="000821D5" w:rsidP="000821D5">
      <w:pPr>
        <w:pStyle w:val="D1Co-normln"/>
        <w:numPr>
          <w:ilvl w:val="0"/>
          <w:numId w:val="28"/>
        </w:numPr>
        <w:spacing w:after="120"/>
      </w:pPr>
      <w:r>
        <w:t xml:space="preserve">V rámci uvedeného stavebního objektu dojde k přepojení </w:t>
      </w:r>
      <w:r w:rsidR="00C26ABB">
        <w:t>stávajících kabelových vedení NN</w:t>
      </w:r>
      <w:r w:rsidR="00785A93">
        <w:t xml:space="preserve"> </w:t>
      </w:r>
      <w:r w:rsidR="00DD1FF4">
        <w:t>napájející zimní stadion</w:t>
      </w:r>
      <w:r w:rsidR="006E7F44">
        <w:t xml:space="preserve">. Přepojeny budou pouze </w:t>
      </w:r>
      <w:r w:rsidR="00A80820">
        <w:t>dvě kabelová vedení NN typu 1-AYKY-J 3x240+120mm</w:t>
      </w:r>
      <w:r w:rsidR="00A80820">
        <w:rPr>
          <w:vertAlign w:val="superscript"/>
        </w:rPr>
        <w:t>2</w:t>
      </w:r>
      <w:r w:rsidR="00A80820">
        <w:t xml:space="preserve"> a 1-AYKY-J 3x120+70mm</w:t>
      </w:r>
      <w:r w:rsidR="00A80820">
        <w:rPr>
          <w:vertAlign w:val="superscript"/>
        </w:rPr>
        <w:t>2</w:t>
      </w:r>
      <w:r w:rsidR="00A80820">
        <w:t>.</w:t>
      </w:r>
    </w:p>
    <w:p w14:paraId="031770FC" w14:textId="0B2E6491" w:rsidR="00A80820" w:rsidRDefault="00725D6D" w:rsidP="00A80820">
      <w:pPr>
        <w:pStyle w:val="D1Co-normln"/>
        <w:spacing w:after="120"/>
      </w:pPr>
      <w:r>
        <w:t xml:space="preserve">PS 01 </w:t>
      </w:r>
      <w:r w:rsidR="008652D1">
        <w:t xml:space="preserve">- </w:t>
      </w:r>
      <w:r>
        <w:t>Nová transformační stanice – technologická část</w:t>
      </w:r>
    </w:p>
    <w:p w14:paraId="71D0C51A" w14:textId="567D2230" w:rsidR="00B8000D" w:rsidRDefault="00725D6D" w:rsidP="00B8000D">
      <w:pPr>
        <w:pStyle w:val="D1Co-normln"/>
        <w:numPr>
          <w:ilvl w:val="0"/>
          <w:numId w:val="28"/>
        </w:numPr>
        <w:spacing w:after="120"/>
      </w:pPr>
      <w:r>
        <w:t>V rámci uvedeného provozního souboru dojde k</w:t>
      </w:r>
      <w:r w:rsidR="00B8000D">
        <w:t> </w:t>
      </w:r>
      <w:r>
        <w:t>osazen</w:t>
      </w:r>
      <w:r w:rsidR="00B8000D">
        <w:t>í technologie nové odběratelské transformační stanice. Z osazeného distribučního rozváděče VN</w:t>
      </w:r>
      <w:r w:rsidR="00381803">
        <w:t xml:space="preserve"> (není součást této stavby)</w:t>
      </w:r>
      <w:r w:rsidR="00B8000D">
        <w:t xml:space="preserve"> bude proveden nový kabelový vývod VN</w:t>
      </w:r>
      <w:r w:rsidR="00381803">
        <w:t xml:space="preserve"> pomocí </w:t>
      </w:r>
      <w:r w:rsidR="00077377">
        <w:t>3x 22-</w:t>
      </w:r>
      <w:r w:rsidR="008856B2">
        <w:t>CXEKCY</w:t>
      </w:r>
      <w:r w:rsidR="00381803">
        <w:t xml:space="preserve"> </w:t>
      </w:r>
      <w:r w:rsidR="00077377">
        <w:t>1x</w:t>
      </w:r>
      <w:r w:rsidR="008856B2">
        <w:t>35/16</w:t>
      </w:r>
      <w:r w:rsidR="00077377">
        <w:t>mm</w:t>
      </w:r>
      <w:r w:rsidR="00077377">
        <w:rPr>
          <w:vertAlign w:val="superscript"/>
        </w:rPr>
        <w:t>2</w:t>
      </w:r>
      <w:r w:rsidR="00330463">
        <w:t>, který bude ukončen na VN straně transformátoru.</w:t>
      </w:r>
      <w:r w:rsidR="00FA2D55">
        <w:t xml:space="preserve"> Z NN strany transformátoru bude dále proveden </w:t>
      </w:r>
      <w:r w:rsidR="00B075FB">
        <w:t xml:space="preserve">nový kabelový propoj pomocí </w:t>
      </w:r>
      <w:r w:rsidR="00F9371C">
        <w:t xml:space="preserve">3x 1-AYY 240 (3x </w:t>
      </w:r>
      <w:r w:rsidR="000F448F">
        <w:t>1f) na hlavní jistič nového rozváděče NN.</w:t>
      </w:r>
      <w:r w:rsidR="008402E6">
        <w:t xml:space="preserve"> Do transformační stanice bude osazen nový skříňový rozváděče </w:t>
      </w:r>
      <w:r w:rsidR="0098770F">
        <w:t xml:space="preserve">RDO </w:t>
      </w:r>
      <w:proofErr w:type="gramStart"/>
      <w:r w:rsidR="0098770F">
        <w:t>01H</w:t>
      </w:r>
      <w:proofErr w:type="gramEnd"/>
      <w:r w:rsidR="0098770F">
        <w:t>/V6</w:t>
      </w:r>
      <w:r w:rsidR="00B642D0">
        <w:t xml:space="preserve">. Dále bude osazen rozváděč měření </w:t>
      </w:r>
      <w:r w:rsidR="007B0AC0">
        <w:t>SM-1</w:t>
      </w:r>
      <w:r w:rsidR="008520AE">
        <w:t>.</w:t>
      </w:r>
    </w:p>
    <w:p w14:paraId="19957191" w14:textId="585A6830" w:rsidR="00B97B88" w:rsidRDefault="008652D1" w:rsidP="00B97B88">
      <w:pPr>
        <w:pStyle w:val="D1Co-normln"/>
        <w:spacing w:after="120"/>
      </w:pPr>
      <w:r>
        <w:t xml:space="preserve">PS 02 – Transformátor </w:t>
      </w:r>
    </w:p>
    <w:p w14:paraId="1F5BE0EA" w14:textId="50D2956A" w:rsidR="008652D1" w:rsidRPr="00735EFB" w:rsidRDefault="008652D1" w:rsidP="008652D1">
      <w:pPr>
        <w:pStyle w:val="D1Co-normln"/>
        <w:numPr>
          <w:ilvl w:val="0"/>
          <w:numId w:val="28"/>
        </w:numPr>
        <w:spacing w:after="120"/>
      </w:pPr>
      <w:r>
        <w:t>V rámci uvedeného provozního souboru dojde k osazení nového transformátoru o výkonu 400kVA</w:t>
      </w:r>
      <w:r w:rsidR="00261C30">
        <w:t xml:space="preserve"> s napěťovým převodem 22/0,4kV. </w:t>
      </w:r>
      <w:r w:rsidR="00C73BBC">
        <w:t xml:space="preserve">Jednat se bude o olejový </w:t>
      </w:r>
      <w:proofErr w:type="spellStart"/>
      <w:r w:rsidR="00C73BBC">
        <w:t>hermetizovaný</w:t>
      </w:r>
      <w:proofErr w:type="spellEnd"/>
      <w:r w:rsidR="00C73BBC">
        <w:t xml:space="preserve"> transformátor.</w:t>
      </w:r>
    </w:p>
    <w:p w14:paraId="2381E1F8" w14:textId="0BBA7307" w:rsidR="005F1B43" w:rsidRPr="000B3616" w:rsidRDefault="005F1B43" w:rsidP="00427C84">
      <w:pPr>
        <w:pStyle w:val="C1Co-podst"/>
        <w:numPr>
          <w:ilvl w:val="0"/>
          <w:numId w:val="26"/>
        </w:numPr>
        <w:ind w:hanging="691"/>
      </w:pPr>
      <w:bookmarkStart w:id="51" w:name="_Toc134690194"/>
      <w:r w:rsidRPr="000B3616">
        <w:lastRenderedPageBreak/>
        <w:t>Zásady požárně bezpečnostního řešení</w:t>
      </w:r>
      <w:bookmarkEnd w:id="51"/>
    </w:p>
    <w:p w14:paraId="382F4AE0" w14:textId="101E13E7" w:rsidR="00CA6927" w:rsidRPr="000B3616" w:rsidRDefault="00305DD6" w:rsidP="005F1B43">
      <w:pPr>
        <w:pStyle w:val="D1Co-normln"/>
      </w:pPr>
      <w:r w:rsidRPr="000B3616">
        <w:t xml:space="preserve">Požárně nebezpečné prostory jsou zakresleny na výkresech a </w:t>
      </w:r>
      <w:r w:rsidR="009E397D" w:rsidRPr="000B3616">
        <w:t xml:space="preserve">součástí projektové dokumentace je požárně bezpečnostní řešení typového provedení </w:t>
      </w:r>
      <w:r w:rsidR="00766186" w:rsidRPr="000B3616">
        <w:t>transformační stanice.</w:t>
      </w:r>
    </w:p>
    <w:p w14:paraId="18BA09A2" w14:textId="77777777" w:rsidR="00CA6927" w:rsidRPr="000B3616" w:rsidRDefault="00CA6927" w:rsidP="005F1B43">
      <w:pPr>
        <w:pStyle w:val="D1Co-normln"/>
      </w:pPr>
    </w:p>
    <w:p w14:paraId="0ADB78B6" w14:textId="09583A1C" w:rsidR="005F1B43" w:rsidRPr="000B3616" w:rsidRDefault="00BE3F96" w:rsidP="005F1B43">
      <w:pPr>
        <w:pStyle w:val="D1Co-normln"/>
      </w:pPr>
      <w:r w:rsidRPr="000B3616">
        <w:t>Nové kabelové vedení NN uložené v zemi vč. rozvodných skříní není vzhledem ke svému charakteru zdrojem vzniku požáru</w:t>
      </w:r>
      <w:r w:rsidR="005454CC" w:rsidRPr="000B3616">
        <w:t>, proto</w:t>
      </w:r>
      <w:r w:rsidRPr="000B3616">
        <w:t xml:space="preserve"> </w:t>
      </w:r>
      <w:r w:rsidR="005454CC" w:rsidRPr="000B3616">
        <w:t xml:space="preserve">není </w:t>
      </w:r>
      <w:r w:rsidRPr="000B3616">
        <w:t>nutn</w:t>
      </w:r>
      <w:r w:rsidR="005454CC" w:rsidRPr="000B3616">
        <w:t>é</w:t>
      </w:r>
      <w:r w:rsidRPr="000B3616">
        <w:t xml:space="preserve"> posuzovat z hlediska požární bezpečnosti.</w:t>
      </w:r>
    </w:p>
    <w:p w14:paraId="4701E7FF" w14:textId="496863EE" w:rsidR="00BE3F96" w:rsidRPr="006F388B" w:rsidRDefault="00BE3F96" w:rsidP="00427C84">
      <w:pPr>
        <w:pStyle w:val="C1Co-podst"/>
        <w:numPr>
          <w:ilvl w:val="0"/>
          <w:numId w:val="26"/>
        </w:numPr>
        <w:ind w:hanging="691"/>
      </w:pPr>
      <w:bookmarkStart w:id="52" w:name="_Toc134690195"/>
      <w:r w:rsidRPr="006F388B">
        <w:t>Hygienické požadavky na stavby, požadavky na pracovní a komunální prostředí</w:t>
      </w:r>
      <w:bookmarkEnd w:id="52"/>
    </w:p>
    <w:p w14:paraId="1B75C3C5" w14:textId="16074294" w:rsidR="00BE3F96" w:rsidRPr="006F388B" w:rsidRDefault="00BE3F96" w:rsidP="00BE3F96">
      <w:pPr>
        <w:pStyle w:val="D1Co-normln"/>
      </w:pPr>
      <w:r w:rsidRPr="006F388B">
        <w:t>Řešená stavba nemá vhledem ke svému charakteru žádný trvalý nepříznivý vliv na hygienu, ochranu zdraví a životní prostředí.</w:t>
      </w:r>
    </w:p>
    <w:p w14:paraId="0FE4215B" w14:textId="59DF726E" w:rsidR="00BE3F96" w:rsidRPr="006F388B" w:rsidRDefault="00BE3F96" w:rsidP="00BE3F96">
      <w:pPr>
        <w:pStyle w:val="D1Co-normln"/>
      </w:pPr>
      <w:r w:rsidRPr="006F388B">
        <w:t>Při provádění stavby nesmí být nadměrně narušeno životní prostředí. Pro ochranu prostředí před negativními vlivy realizace stavby je nutno dodržet následující podmínky:</w:t>
      </w:r>
    </w:p>
    <w:p w14:paraId="6C35BAC7" w14:textId="793FC615" w:rsidR="006943DE" w:rsidRPr="006F388B" w:rsidRDefault="006943DE" w:rsidP="006943DE">
      <w:pPr>
        <w:pStyle w:val="D1Co-normln"/>
        <w:numPr>
          <w:ilvl w:val="0"/>
          <w:numId w:val="28"/>
        </w:numPr>
      </w:pPr>
      <w:r w:rsidRPr="006F388B">
        <w:t>Stavební činnost bude prováděna v pracovní dny v době od 8:00 do 18:00 hod. a nebudou při tom překročeny limity stanovené v nařízení vlády č 272/2011 Sb. o ochraně zdraví před nepříznivými účinky hluku a vibrací.</w:t>
      </w:r>
    </w:p>
    <w:p w14:paraId="7DAC79DE" w14:textId="2E3933B4" w:rsidR="006943DE" w:rsidRPr="006F388B" w:rsidRDefault="006943DE" w:rsidP="006943DE">
      <w:pPr>
        <w:pStyle w:val="D1Co-normln"/>
        <w:numPr>
          <w:ilvl w:val="0"/>
          <w:numId w:val="28"/>
        </w:numPr>
      </w:pPr>
      <w:r w:rsidRPr="006F388B">
        <w:t>Stavební činností dle tohoto projektu nebude dotčena vzrostlá zeleň.</w:t>
      </w:r>
    </w:p>
    <w:p w14:paraId="5E6E3C3F" w14:textId="27CCC07E" w:rsidR="005F1B43" w:rsidRPr="0070080E" w:rsidRDefault="006943DE" w:rsidP="00427C84">
      <w:pPr>
        <w:pStyle w:val="C1Co-podst"/>
        <w:numPr>
          <w:ilvl w:val="0"/>
          <w:numId w:val="26"/>
        </w:numPr>
        <w:ind w:hanging="691"/>
      </w:pPr>
      <w:bookmarkStart w:id="53" w:name="_Toc134690196"/>
      <w:r w:rsidRPr="0070080E">
        <w:t>Zásady ochrany stavby před negativními účinky vnějšího prostředí</w:t>
      </w:r>
      <w:bookmarkEnd w:id="53"/>
    </w:p>
    <w:p w14:paraId="75016727" w14:textId="5149FB37" w:rsidR="006943DE" w:rsidRPr="0070080E" w:rsidRDefault="006943DE" w:rsidP="006943DE">
      <w:pPr>
        <w:pStyle w:val="C2Co-Podsta"/>
        <w:numPr>
          <w:ilvl w:val="0"/>
          <w:numId w:val="30"/>
        </w:numPr>
        <w:ind w:left="1134" w:hanging="425"/>
      </w:pPr>
      <w:bookmarkStart w:id="54" w:name="_Toc134690197"/>
      <w:r w:rsidRPr="0070080E">
        <w:t>Ochrana před pronikáním radonu z podloží</w:t>
      </w:r>
      <w:bookmarkEnd w:id="54"/>
    </w:p>
    <w:p w14:paraId="750E3BB3" w14:textId="2E77499D" w:rsidR="006943DE" w:rsidRPr="0070080E" w:rsidRDefault="006943DE" w:rsidP="006943DE">
      <w:pPr>
        <w:pStyle w:val="D1Co-normln"/>
      </w:pPr>
      <w:r w:rsidRPr="0070080E">
        <w:t>Radon nemá na kabelové vedení NN</w:t>
      </w:r>
      <w:r w:rsidR="00E90841">
        <w:t xml:space="preserve">, či novou transformační stanici </w:t>
      </w:r>
      <w:r w:rsidRPr="0070080E">
        <w:t>vliv a není třeba jej chránit.</w:t>
      </w:r>
    </w:p>
    <w:p w14:paraId="59816505" w14:textId="134B7875" w:rsidR="006943DE" w:rsidRPr="003F201B" w:rsidRDefault="006943DE" w:rsidP="006943DE">
      <w:pPr>
        <w:pStyle w:val="C2Co-Podsta"/>
      </w:pPr>
      <w:bookmarkStart w:id="55" w:name="_Toc134690198"/>
      <w:r w:rsidRPr="003F201B">
        <w:t>Ochrana před bludnými proudy</w:t>
      </w:r>
      <w:bookmarkEnd w:id="55"/>
    </w:p>
    <w:p w14:paraId="755CE0FB" w14:textId="02A73E95" w:rsidR="006943DE" w:rsidRPr="003F201B" w:rsidRDefault="00DE1D8A" w:rsidP="006943DE">
      <w:pPr>
        <w:pStyle w:val="D1Co-normln"/>
      </w:pPr>
      <w:r>
        <w:t>V blízkosti stavby nejsou zdroje bludných proudů a v rámci uvedené projektové dokumentace není uvažováno s ochranou proti bludným proudům.</w:t>
      </w:r>
    </w:p>
    <w:p w14:paraId="7B41D023" w14:textId="6F0BE3E8" w:rsidR="006943DE" w:rsidRPr="003F201B" w:rsidRDefault="006943DE" w:rsidP="006943DE">
      <w:pPr>
        <w:pStyle w:val="C2Co-Podsta"/>
      </w:pPr>
      <w:bookmarkStart w:id="56" w:name="_Toc134690199"/>
      <w:r w:rsidRPr="003F201B">
        <w:t>Ochrana před technickou seizmicitou</w:t>
      </w:r>
      <w:bookmarkEnd w:id="56"/>
    </w:p>
    <w:p w14:paraId="3633333E" w14:textId="57C08BE7" w:rsidR="006943DE" w:rsidRPr="003F201B" w:rsidRDefault="006943DE" w:rsidP="006943DE">
      <w:pPr>
        <w:pStyle w:val="D1Co-normln"/>
      </w:pPr>
      <w:r w:rsidRPr="003F201B">
        <w:t>Kabely jsou umístěny v prostorech s běžnými vibracemi.</w:t>
      </w:r>
    </w:p>
    <w:p w14:paraId="34104959" w14:textId="63CE7957" w:rsidR="006943DE" w:rsidRPr="003F201B" w:rsidRDefault="006943DE" w:rsidP="006943DE">
      <w:pPr>
        <w:pStyle w:val="C2Co-Podsta"/>
      </w:pPr>
      <w:bookmarkStart w:id="57" w:name="_Toc134690200"/>
      <w:r w:rsidRPr="003F201B">
        <w:t>Ochrana před hlukem</w:t>
      </w:r>
      <w:bookmarkEnd w:id="57"/>
    </w:p>
    <w:p w14:paraId="0311F1A0" w14:textId="1567669E" w:rsidR="006C743C" w:rsidRPr="003F201B" w:rsidRDefault="006C743C" w:rsidP="006C743C">
      <w:pPr>
        <w:pStyle w:val="D1Co-normln"/>
      </w:pPr>
      <w:r w:rsidRPr="003F201B">
        <w:t>Nejedná se o technická a technologická zařízení citlivá na hluk.</w:t>
      </w:r>
    </w:p>
    <w:p w14:paraId="3AD884D4" w14:textId="7593D045" w:rsidR="006C743C" w:rsidRPr="003F201B" w:rsidRDefault="006C743C" w:rsidP="006C743C">
      <w:pPr>
        <w:pStyle w:val="C2Co-Podsta"/>
      </w:pPr>
      <w:bookmarkStart w:id="58" w:name="_Toc134690201"/>
      <w:r w:rsidRPr="003F201B">
        <w:t>Protipovodňová opatření</w:t>
      </w:r>
      <w:bookmarkEnd w:id="58"/>
    </w:p>
    <w:p w14:paraId="42A9EC5D" w14:textId="24CF8B4B" w:rsidR="006C743C" w:rsidRPr="003F201B" w:rsidRDefault="006C743C" w:rsidP="006C743C">
      <w:pPr>
        <w:pStyle w:val="D1Co-normln"/>
      </w:pPr>
      <w:r w:rsidRPr="003F201B">
        <w:t>Stavba se nenachází v záplavovém území, proto nejsou navrhována protipovodňová opatření.</w:t>
      </w:r>
    </w:p>
    <w:p w14:paraId="5158D002" w14:textId="44C0E3FF" w:rsidR="006943DE" w:rsidRPr="003F201B" w:rsidRDefault="006C743C" w:rsidP="006C743C">
      <w:pPr>
        <w:pStyle w:val="C2Co-Podsta"/>
      </w:pPr>
      <w:bookmarkStart w:id="59" w:name="_Toc134690202"/>
      <w:r w:rsidRPr="003F201B">
        <w:t>Ochrana před ostatními účinky</w:t>
      </w:r>
      <w:bookmarkEnd w:id="59"/>
    </w:p>
    <w:p w14:paraId="36F783A8" w14:textId="6F829CD7" w:rsidR="006C743C" w:rsidRPr="003F201B" w:rsidRDefault="006C743C" w:rsidP="00C72B9E">
      <w:pPr>
        <w:pStyle w:val="D1Co-normln"/>
      </w:pPr>
      <w:r w:rsidRPr="003F201B">
        <w:rPr>
          <w:u w:val="single"/>
        </w:rPr>
        <w:t>Poddolování</w:t>
      </w:r>
      <w:r w:rsidRPr="003F201B">
        <w:t xml:space="preserve"> </w:t>
      </w:r>
      <w:r w:rsidR="00D03091" w:rsidRPr="003F201B">
        <w:tab/>
      </w:r>
      <w:r w:rsidRPr="003F201B">
        <w:t xml:space="preserve">– stavba se </w:t>
      </w:r>
      <w:r w:rsidR="00C72B9E" w:rsidRPr="003F201B">
        <w:t>ne</w:t>
      </w:r>
      <w:r w:rsidRPr="003F201B">
        <w:t>nachází v poddolovaném území</w:t>
      </w:r>
    </w:p>
    <w:p w14:paraId="68A1F96E" w14:textId="04F5956D" w:rsidR="006C743C" w:rsidRPr="003F201B" w:rsidRDefault="00D03091" w:rsidP="006C743C">
      <w:pPr>
        <w:pStyle w:val="D1Co-normln"/>
      </w:pPr>
      <w:r w:rsidRPr="003F201B">
        <w:rPr>
          <w:u w:val="single"/>
        </w:rPr>
        <w:t>M</w:t>
      </w:r>
      <w:r w:rsidR="006C743C" w:rsidRPr="003F201B">
        <w:rPr>
          <w:u w:val="single"/>
        </w:rPr>
        <w:t>etan</w:t>
      </w:r>
      <w:r w:rsidRPr="003F201B">
        <w:t xml:space="preserve"> </w:t>
      </w:r>
      <w:r w:rsidRPr="003F201B">
        <w:tab/>
      </w:r>
      <w:r w:rsidRPr="003F201B">
        <w:tab/>
        <w:t>– nejedná se o zařízení citlivá na výskyt metanu</w:t>
      </w:r>
    </w:p>
    <w:p w14:paraId="056C659E" w14:textId="132A01A3" w:rsidR="00D03091" w:rsidRPr="003F201B" w:rsidRDefault="00D03091" w:rsidP="00D03091">
      <w:pPr>
        <w:pStyle w:val="BCo-B1"/>
      </w:pPr>
      <w:bookmarkStart w:id="60" w:name="_Toc134690203"/>
      <w:r w:rsidRPr="003F201B">
        <w:t>Připojení na technickou infrastrukturu</w:t>
      </w:r>
      <w:bookmarkEnd w:id="60"/>
    </w:p>
    <w:p w14:paraId="0340C56F" w14:textId="77777777" w:rsidR="00885E84" w:rsidRPr="003F201B" w:rsidRDefault="00885E84" w:rsidP="006B4CC0">
      <w:pPr>
        <w:pStyle w:val="C2Co-Podsta"/>
        <w:numPr>
          <w:ilvl w:val="0"/>
          <w:numId w:val="20"/>
        </w:numPr>
        <w:tabs>
          <w:tab w:val="clear" w:pos="360"/>
        </w:tabs>
        <w:ind w:left="1134" w:hanging="425"/>
        <w:rPr>
          <w:rFonts w:cs="Arial"/>
        </w:rPr>
      </w:pPr>
      <w:bookmarkStart w:id="61" w:name="_Toc134690204"/>
      <w:r w:rsidRPr="003F201B">
        <w:rPr>
          <w:rFonts w:cs="Arial"/>
        </w:rPr>
        <w:t>Napojovac</w:t>
      </w:r>
      <w:r w:rsidR="00AC663F" w:rsidRPr="003F201B">
        <w:rPr>
          <w:rFonts w:cs="Arial"/>
        </w:rPr>
        <w:t>í místa technické infrastruktury</w:t>
      </w:r>
      <w:bookmarkEnd w:id="61"/>
    </w:p>
    <w:p w14:paraId="66E2D617" w14:textId="0C183D62" w:rsidR="00AC663F" w:rsidRPr="003F201B" w:rsidRDefault="00903EEA" w:rsidP="00903EEA">
      <w:pPr>
        <w:pStyle w:val="D1Co-normln"/>
        <w:rPr>
          <w:rFonts w:cs="Arial"/>
        </w:rPr>
      </w:pPr>
      <w:r w:rsidRPr="003F201B">
        <w:rPr>
          <w:rFonts w:cs="Arial"/>
        </w:rPr>
        <w:t xml:space="preserve">Stavba nebude napojena na technickou infrastrukturu, kromě distribuční soustavy </w:t>
      </w:r>
      <w:r w:rsidR="003F201B" w:rsidRPr="003F201B">
        <w:rPr>
          <w:rFonts w:cs="Arial"/>
        </w:rPr>
        <w:t>V</w:t>
      </w:r>
      <w:r w:rsidRPr="003F201B">
        <w:rPr>
          <w:rFonts w:cs="Arial"/>
        </w:rPr>
        <w:t xml:space="preserve">N ČEZ Distribuce, </w:t>
      </w:r>
      <w:proofErr w:type="gramStart"/>
      <w:r w:rsidRPr="003F201B">
        <w:rPr>
          <w:rFonts w:cs="Arial"/>
        </w:rPr>
        <w:t>a.s.</w:t>
      </w:r>
      <w:r w:rsidR="003F201B" w:rsidRPr="003F201B">
        <w:rPr>
          <w:rFonts w:cs="Arial"/>
        </w:rPr>
        <w:t>.</w:t>
      </w:r>
      <w:proofErr w:type="gramEnd"/>
    </w:p>
    <w:p w14:paraId="273C14FD" w14:textId="77777777" w:rsidR="00AC663F" w:rsidRPr="003F201B" w:rsidRDefault="00AC663F" w:rsidP="006B4CC0">
      <w:pPr>
        <w:pStyle w:val="C2Co-Podsta"/>
        <w:numPr>
          <w:ilvl w:val="0"/>
          <w:numId w:val="20"/>
        </w:numPr>
        <w:tabs>
          <w:tab w:val="clear" w:pos="360"/>
        </w:tabs>
        <w:ind w:left="1134" w:hanging="425"/>
        <w:rPr>
          <w:rFonts w:cs="Arial"/>
        </w:rPr>
      </w:pPr>
      <w:bookmarkStart w:id="62" w:name="_Toc134690205"/>
      <w:r w:rsidRPr="003F201B">
        <w:rPr>
          <w:rFonts w:cs="Arial"/>
        </w:rPr>
        <w:lastRenderedPageBreak/>
        <w:t>Připojovací rozměry, výkonové kapacity a délky</w:t>
      </w:r>
      <w:bookmarkEnd w:id="62"/>
    </w:p>
    <w:p w14:paraId="46FDF637" w14:textId="1D597A5C" w:rsidR="005276C5" w:rsidRDefault="00DE236F" w:rsidP="00200B62">
      <w:pPr>
        <w:pStyle w:val="D1Co-normln"/>
        <w:rPr>
          <w:rFonts w:cs="Arial"/>
        </w:rPr>
      </w:pPr>
      <w:r>
        <w:rPr>
          <w:rFonts w:cs="Arial"/>
        </w:rPr>
        <w:t>Jednotlivé parametry stavby jsou uvedeny v části D.1 Technická zpráva, která je součástí této projektové dokumentace.</w:t>
      </w:r>
    </w:p>
    <w:p w14:paraId="17DB80B0" w14:textId="77777777" w:rsidR="000C453C" w:rsidRPr="00E2765C" w:rsidRDefault="00F1025E" w:rsidP="00F60BF4">
      <w:pPr>
        <w:pStyle w:val="BCo-B1"/>
      </w:pPr>
      <w:bookmarkStart w:id="63" w:name="_Toc459641836"/>
      <w:bookmarkStart w:id="64" w:name="_Toc459703128"/>
      <w:bookmarkStart w:id="65" w:name="_Toc134690206"/>
      <w:r w:rsidRPr="00E2765C">
        <w:t>Dopravní řešení</w:t>
      </w:r>
      <w:bookmarkEnd w:id="63"/>
      <w:bookmarkEnd w:id="64"/>
      <w:bookmarkEnd w:id="65"/>
    </w:p>
    <w:p w14:paraId="5AE49835" w14:textId="77777777" w:rsidR="00AC663F" w:rsidRPr="00E2765C" w:rsidRDefault="00AC663F" w:rsidP="006B4CC0">
      <w:pPr>
        <w:pStyle w:val="C2Co-Podsta"/>
        <w:numPr>
          <w:ilvl w:val="0"/>
          <w:numId w:val="15"/>
        </w:numPr>
        <w:tabs>
          <w:tab w:val="clear" w:pos="360"/>
        </w:tabs>
        <w:ind w:left="1134" w:hanging="425"/>
        <w:rPr>
          <w:rFonts w:cs="Arial"/>
        </w:rPr>
      </w:pPr>
      <w:bookmarkStart w:id="66" w:name="_Toc134690207"/>
      <w:r w:rsidRPr="00E2765C">
        <w:rPr>
          <w:rFonts w:cs="Arial"/>
        </w:rPr>
        <w:t>Popis dopravního řešení</w:t>
      </w:r>
      <w:bookmarkEnd w:id="66"/>
    </w:p>
    <w:p w14:paraId="5F98CCC9" w14:textId="52842913" w:rsidR="00E432C7" w:rsidRDefault="00E432C7" w:rsidP="00200B62">
      <w:pPr>
        <w:pStyle w:val="D1Co-normln"/>
        <w:rPr>
          <w:rFonts w:cs="Arial"/>
        </w:rPr>
      </w:pPr>
      <w:r>
        <w:rPr>
          <w:rFonts w:cs="Arial"/>
        </w:rPr>
        <w:t>V rámci zpracování projektové dokumentace není zpracováván návrh dopravně inženýrského opatření, vzhledem k tomu, že uvedená stavba se nachází na neveřejně přístupném místě.</w:t>
      </w:r>
    </w:p>
    <w:p w14:paraId="3328B291" w14:textId="3B573766" w:rsidR="00E432C7" w:rsidRDefault="00E432C7" w:rsidP="00200B62">
      <w:pPr>
        <w:pStyle w:val="D1Co-normln"/>
        <w:rPr>
          <w:rFonts w:cs="Arial"/>
        </w:rPr>
      </w:pPr>
    </w:p>
    <w:p w14:paraId="519D8942" w14:textId="0749FE14" w:rsidR="00E432C7" w:rsidRDefault="00E432C7" w:rsidP="00E432C7">
      <w:pPr>
        <w:pStyle w:val="D1Co-normln"/>
        <w:rPr>
          <w:rFonts w:cs="Arial"/>
        </w:rPr>
      </w:pPr>
      <w:r w:rsidRPr="00E2765C">
        <w:rPr>
          <w:rFonts w:cs="Arial"/>
        </w:rPr>
        <w:t xml:space="preserve">Před zahájením výstavby se doporučuje </w:t>
      </w:r>
      <w:proofErr w:type="spellStart"/>
      <w:r w:rsidRPr="00E2765C">
        <w:rPr>
          <w:rFonts w:cs="Arial"/>
        </w:rPr>
        <w:t>zhotovitelské</w:t>
      </w:r>
      <w:proofErr w:type="spellEnd"/>
      <w:r w:rsidRPr="00E2765C">
        <w:rPr>
          <w:rFonts w:cs="Arial"/>
        </w:rPr>
        <w:t xml:space="preserve"> firmě zpracovat dopravně</w:t>
      </w:r>
      <w:r>
        <w:rPr>
          <w:rFonts w:cs="Arial"/>
        </w:rPr>
        <w:t xml:space="preserve"> </w:t>
      </w:r>
      <w:r w:rsidRPr="00E2765C">
        <w:rPr>
          <w:rFonts w:cs="Arial"/>
        </w:rPr>
        <w:t>inženýrské opatření</w:t>
      </w:r>
      <w:r>
        <w:rPr>
          <w:rFonts w:cs="Arial"/>
        </w:rPr>
        <w:t xml:space="preserve"> dle skutečného plánu prací na stavbě a zpracované DIO nechat schválit odpovědným Dopravním inspektorátem PČR.</w:t>
      </w:r>
    </w:p>
    <w:p w14:paraId="6EC50167" w14:textId="77777777" w:rsidR="00E432C7" w:rsidRDefault="00E432C7" w:rsidP="00E432C7">
      <w:pPr>
        <w:pStyle w:val="D1Co-normln"/>
        <w:rPr>
          <w:rFonts w:cs="Arial"/>
        </w:rPr>
      </w:pPr>
    </w:p>
    <w:p w14:paraId="13D2061B" w14:textId="77777777" w:rsidR="00AC663F" w:rsidRPr="00E2765C" w:rsidRDefault="00AC663F" w:rsidP="006B4CC0">
      <w:pPr>
        <w:pStyle w:val="C2Co-Podsta"/>
        <w:numPr>
          <w:ilvl w:val="0"/>
          <w:numId w:val="15"/>
        </w:numPr>
        <w:tabs>
          <w:tab w:val="clear" w:pos="360"/>
        </w:tabs>
        <w:ind w:left="1134" w:hanging="425"/>
        <w:rPr>
          <w:rFonts w:cs="Arial"/>
        </w:rPr>
      </w:pPr>
      <w:bookmarkStart w:id="67" w:name="_Toc134690208"/>
      <w:r w:rsidRPr="00E2765C">
        <w:rPr>
          <w:rFonts w:cs="Arial"/>
        </w:rPr>
        <w:t>Napojení území na stávající dopravní infrastrukturu</w:t>
      </w:r>
      <w:bookmarkEnd w:id="67"/>
    </w:p>
    <w:p w14:paraId="7B40F9A5" w14:textId="77777777" w:rsidR="00200B62" w:rsidRPr="00E2765C" w:rsidRDefault="00191307" w:rsidP="00200B62">
      <w:pPr>
        <w:pStyle w:val="D1Co-normln"/>
        <w:rPr>
          <w:rFonts w:cs="Arial"/>
        </w:rPr>
      </w:pPr>
      <w:r w:rsidRPr="00E2765C">
        <w:rPr>
          <w:rFonts w:cs="Arial"/>
        </w:rPr>
        <w:t>V rámci této stavby se nemění.</w:t>
      </w:r>
      <w:r w:rsidR="00B90ED3" w:rsidRPr="00E2765C">
        <w:rPr>
          <w:rFonts w:cs="Arial"/>
        </w:rPr>
        <w:t xml:space="preserve"> Dopravní dostupnost ke staveništi bude po stávajících komunikacích.</w:t>
      </w:r>
    </w:p>
    <w:p w14:paraId="06B625DB" w14:textId="77777777" w:rsidR="00AC663F" w:rsidRPr="00E2765C" w:rsidRDefault="00AC663F" w:rsidP="006B4CC0">
      <w:pPr>
        <w:pStyle w:val="C2Co-Podsta"/>
        <w:numPr>
          <w:ilvl w:val="0"/>
          <w:numId w:val="15"/>
        </w:numPr>
        <w:tabs>
          <w:tab w:val="clear" w:pos="360"/>
        </w:tabs>
        <w:ind w:left="1134" w:hanging="425"/>
        <w:rPr>
          <w:rFonts w:cs="Arial"/>
        </w:rPr>
      </w:pPr>
      <w:bookmarkStart w:id="68" w:name="_Toc134690209"/>
      <w:r w:rsidRPr="00E2765C">
        <w:rPr>
          <w:rFonts w:cs="Arial"/>
        </w:rPr>
        <w:t>Doprava v</w:t>
      </w:r>
      <w:r w:rsidR="00200B62" w:rsidRPr="00E2765C">
        <w:rPr>
          <w:rFonts w:cs="Arial"/>
        </w:rPr>
        <w:t> </w:t>
      </w:r>
      <w:r w:rsidRPr="00E2765C">
        <w:rPr>
          <w:rFonts w:cs="Arial"/>
        </w:rPr>
        <w:t>klidu</w:t>
      </w:r>
      <w:bookmarkEnd w:id="68"/>
    </w:p>
    <w:p w14:paraId="14D7003A" w14:textId="77777777" w:rsidR="00200B62" w:rsidRPr="00E2765C" w:rsidRDefault="00191307" w:rsidP="00200B62">
      <w:pPr>
        <w:pStyle w:val="D1Co-normln"/>
        <w:rPr>
          <w:rFonts w:cs="Arial"/>
        </w:rPr>
      </w:pPr>
      <w:r w:rsidRPr="00E2765C">
        <w:rPr>
          <w:rFonts w:cs="Arial"/>
        </w:rPr>
        <w:t>V rámci této stavby se nemění.</w:t>
      </w:r>
    </w:p>
    <w:p w14:paraId="1730775B" w14:textId="77777777" w:rsidR="00AC663F" w:rsidRPr="004C3324" w:rsidRDefault="00AC663F" w:rsidP="006B4CC0">
      <w:pPr>
        <w:pStyle w:val="C2Co-Podsta"/>
        <w:numPr>
          <w:ilvl w:val="0"/>
          <w:numId w:val="15"/>
        </w:numPr>
        <w:tabs>
          <w:tab w:val="clear" w:pos="360"/>
        </w:tabs>
        <w:ind w:left="1134" w:hanging="425"/>
        <w:rPr>
          <w:rFonts w:cs="Arial"/>
        </w:rPr>
      </w:pPr>
      <w:bookmarkStart w:id="69" w:name="_Toc134690210"/>
      <w:r w:rsidRPr="004C3324">
        <w:rPr>
          <w:rFonts w:cs="Arial"/>
        </w:rPr>
        <w:t>Pěší a cyklistické stezky</w:t>
      </w:r>
      <w:bookmarkEnd w:id="69"/>
    </w:p>
    <w:p w14:paraId="395FA012" w14:textId="7E409CED" w:rsidR="00191307" w:rsidRPr="004C3324" w:rsidRDefault="00E2765C" w:rsidP="00191307">
      <w:pPr>
        <w:pStyle w:val="D1Co-normln"/>
        <w:rPr>
          <w:rFonts w:cs="Arial"/>
        </w:rPr>
      </w:pPr>
      <w:r w:rsidRPr="004C3324">
        <w:rPr>
          <w:rFonts w:cs="Arial"/>
        </w:rPr>
        <w:t>Výkopové práce budou řešeny na neveřejně přístupném místě</w:t>
      </w:r>
      <w:r w:rsidR="00196AB9" w:rsidRPr="004C3324">
        <w:rPr>
          <w:rFonts w:cs="Arial"/>
        </w:rPr>
        <w:t>, pěší nebo cyk</w:t>
      </w:r>
      <w:r w:rsidR="004C3324" w:rsidRPr="004C3324">
        <w:rPr>
          <w:rFonts w:cs="Arial"/>
        </w:rPr>
        <w:t>listické stezky nebudou jinak dotčeny.</w:t>
      </w:r>
    </w:p>
    <w:p w14:paraId="248CAD5B" w14:textId="77777777" w:rsidR="0052620A" w:rsidRPr="00427BF7" w:rsidRDefault="00934526" w:rsidP="0052620A">
      <w:pPr>
        <w:pStyle w:val="BCo-B1"/>
      </w:pPr>
      <w:bookmarkStart w:id="70" w:name="_Toc459641837"/>
      <w:bookmarkStart w:id="71" w:name="_Toc459703129"/>
      <w:bookmarkStart w:id="72" w:name="_Toc134690211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27BF7">
        <w:t>Řešení</w:t>
      </w:r>
      <w:r w:rsidR="0052620A" w:rsidRPr="00427BF7">
        <w:t xml:space="preserve"> vegetace a souvisejících terénních úprav</w:t>
      </w:r>
      <w:bookmarkEnd w:id="70"/>
      <w:bookmarkEnd w:id="71"/>
      <w:bookmarkEnd w:id="72"/>
    </w:p>
    <w:p w14:paraId="43E3353B" w14:textId="77777777" w:rsidR="00CA62B0" w:rsidRPr="00427BF7" w:rsidRDefault="00CA62B0" w:rsidP="006B4CC0">
      <w:pPr>
        <w:pStyle w:val="C2Co-Podsta"/>
        <w:numPr>
          <w:ilvl w:val="0"/>
          <w:numId w:val="16"/>
        </w:numPr>
        <w:tabs>
          <w:tab w:val="clear" w:pos="360"/>
        </w:tabs>
        <w:ind w:left="1134" w:hanging="425"/>
        <w:rPr>
          <w:rFonts w:cs="Arial"/>
        </w:rPr>
      </w:pPr>
      <w:bookmarkStart w:id="73" w:name="_Toc134690212"/>
      <w:r w:rsidRPr="00427BF7">
        <w:rPr>
          <w:rFonts w:cs="Arial"/>
        </w:rPr>
        <w:t>Terénní úpravy</w:t>
      </w:r>
      <w:bookmarkEnd w:id="73"/>
    </w:p>
    <w:p w14:paraId="7E7DE29C" w14:textId="77777777" w:rsidR="00AC58C9" w:rsidRPr="00427BF7" w:rsidRDefault="004D167D" w:rsidP="00AC58C9">
      <w:pPr>
        <w:pStyle w:val="D1Co-normln"/>
        <w:rPr>
          <w:rFonts w:cs="Arial"/>
        </w:rPr>
      </w:pPr>
      <w:r w:rsidRPr="00427BF7">
        <w:rPr>
          <w:rFonts w:cs="Arial"/>
        </w:rPr>
        <w:t>Terén bude po dokončení stavby uveden do předchozího stavu.</w:t>
      </w:r>
    </w:p>
    <w:p w14:paraId="3E6B7422" w14:textId="77777777" w:rsidR="00CA62B0" w:rsidRPr="00427BF7" w:rsidRDefault="00CA62B0" w:rsidP="006B4CC0">
      <w:pPr>
        <w:pStyle w:val="C2Co-Podsta"/>
        <w:numPr>
          <w:ilvl w:val="0"/>
          <w:numId w:val="16"/>
        </w:numPr>
        <w:tabs>
          <w:tab w:val="clear" w:pos="360"/>
        </w:tabs>
        <w:ind w:left="1134" w:hanging="425"/>
        <w:rPr>
          <w:rFonts w:cs="Arial"/>
        </w:rPr>
      </w:pPr>
      <w:bookmarkStart w:id="74" w:name="_Toc134690213"/>
      <w:r w:rsidRPr="00427BF7">
        <w:rPr>
          <w:rFonts w:cs="Arial"/>
        </w:rPr>
        <w:t>Použité vegetační prvky</w:t>
      </w:r>
      <w:bookmarkEnd w:id="74"/>
    </w:p>
    <w:p w14:paraId="3B5300C3" w14:textId="085F4D45" w:rsidR="00AC58C9" w:rsidRPr="00427BF7" w:rsidRDefault="004F5E8C" w:rsidP="00AC58C9">
      <w:pPr>
        <w:pStyle w:val="D1Co-normln"/>
        <w:rPr>
          <w:rFonts w:cs="Arial"/>
        </w:rPr>
      </w:pPr>
      <w:r>
        <w:rPr>
          <w:rFonts w:cs="Arial"/>
        </w:rPr>
        <w:t>V místě stavby se nenachází vegetační prvky, stavba se nachází v manipulační ploše se štěrkovým povrchem.</w:t>
      </w:r>
    </w:p>
    <w:p w14:paraId="7A510C75" w14:textId="77777777" w:rsidR="00CA62B0" w:rsidRPr="00427BF7" w:rsidRDefault="00CA62B0" w:rsidP="006B4CC0">
      <w:pPr>
        <w:pStyle w:val="C2Co-Podsta"/>
        <w:numPr>
          <w:ilvl w:val="0"/>
          <w:numId w:val="16"/>
        </w:numPr>
        <w:tabs>
          <w:tab w:val="clear" w:pos="360"/>
        </w:tabs>
        <w:ind w:left="1134" w:hanging="425"/>
        <w:rPr>
          <w:rFonts w:cs="Arial"/>
        </w:rPr>
      </w:pPr>
      <w:bookmarkStart w:id="75" w:name="_Toc134690214"/>
      <w:r w:rsidRPr="00427BF7">
        <w:rPr>
          <w:rFonts w:cs="Arial"/>
        </w:rPr>
        <w:t>Biotechnická opatření</w:t>
      </w:r>
      <w:bookmarkEnd w:id="75"/>
    </w:p>
    <w:p w14:paraId="1257D99F" w14:textId="3413AF70" w:rsidR="00AC58C9" w:rsidRPr="00427BF7" w:rsidRDefault="004B2710" w:rsidP="00AC58C9">
      <w:pPr>
        <w:pStyle w:val="D1Co-normln"/>
        <w:rPr>
          <w:rFonts w:cs="Arial"/>
        </w:rPr>
      </w:pPr>
      <w:r w:rsidRPr="00427BF7">
        <w:rPr>
          <w:rFonts w:cs="Arial"/>
        </w:rPr>
        <w:t>Netýká se této stavby.</w:t>
      </w:r>
    </w:p>
    <w:p w14:paraId="4F4458A4" w14:textId="77777777" w:rsidR="0052620A" w:rsidRPr="00F91959" w:rsidRDefault="00BF7F61" w:rsidP="0052620A">
      <w:pPr>
        <w:pStyle w:val="BCo-B1"/>
      </w:pPr>
      <w:bookmarkStart w:id="76" w:name="_Toc459641838"/>
      <w:bookmarkStart w:id="77" w:name="_Toc459703130"/>
      <w:bookmarkStart w:id="78" w:name="_Toc134690215"/>
      <w:r w:rsidRPr="00F91959">
        <w:t>Popis vlivů stavby na životní prostředí a jeho ochrana</w:t>
      </w:r>
      <w:bookmarkEnd w:id="76"/>
      <w:bookmarkEnd w:id="77"/>
      <w:bookmarkEnd w:id="78"/>
    </w:p>
    <w:p w14:paraId="0C09680B" w14:textId="3E21B1A2" w:rsidR="004D1CD5" w:rsidRPr="00F91959" w:rsidRDefault="00182044" w:rsidP="006B4CC0">
      <w:pPr>
        <w:pStyle w:val="C2Co-Podsta"/>
        <w:numPr>
          <w:ilvl w:val="0"/>
          <w:numId w:val="19"/>
        </w:numPr>
        <w:tabs>
          <w:tab w:val="clear" w:pos="360"/>
        </w:tabs>
        <w:ind w:left="1134" w:hanging="425"/>
        <w:rPr>
          <w:rFonts w:cs="Arial"/>
        </w:rPr>
      </w:pPr>
      <w:bookmarkStart w:id="79" w:name="_Toc134690216"/>
      <w:r w:rsidRPr="00F91959">
        <w:rPr>
          <w:rFonts w:cs="Arial"/>
        </w:rPr>
        <w:t>Vliv na životní prostředí – ovzduší, hluk, voda, odpady a půda</w:t>
      </w:r>
      <w:bookmarkEnd w:id="79"/>
    </w:p>
    <w:p w14:paraId="029A95CD" w14:textId="220C846D" w:rsidR="00182044" w:rsidRPr="00F91959" w:rsidRDefault="00182044" w:rsidP="00182044">
      <w:pPr>
        <w:pStyle w:val="D1Co-normln"/>
        <w:spacing w:after="60"/>
      </w:pPr>
      <w:r w:rsidRPr="00F91959">
        <w:t>Stavba nemá nepříznivý vliv na životní prostředí. Při výstavbě nebudou používány materiály nebezpečné pro životní prostředí. Při výstavbě nevzniknou žádné nebezpečné odpady, přebytečná vytěžená zemina bude odvezena na skládku.</w:t>
      </w:r>
    </w:p>
    <w:p w14:paraId="7F719D94" w14:textId="77777777" w:rsidR="00182044" w:rsidRPr="00F91959" w:rsidRDefault="00182044" w:rsidP="00182044">
      <w:pPr>
        <w:pStyle w:val="D1Co-normln"/>
        <w:spacing w:after="60"/>
      </w:pPr>
      <w:r w:rsidRPr="00F91959">
        <w:t>Při projektování stavby byly zohledněny podmínky a při vlastní realizaci stavby je nutno dodržovat zejména tyto zákony:</w:t>
      </w:r>
    </w:p>
    <w:p w14:paraId="44B73B3E" w14:textId="012B568F" w:rsidR="00182044" w:rsidRPr="00F91959" w:rsidRDefault="00182044" w:rsidP="00600901">
      <w:pPr>
        <w:pStyle w:val="D1Co-normln"/>
      </w:pPr>
      <w:r w:rsidRPr="00F91959">
        <w:t>Zákon o životním prostředí č. 17/1992</w:t>
      </w:r>
      <w:r w:rsidR="00F00875" w:rsidRPr="00F91959">
        <w:t xml:space="preserve"> </w:t>
      </w:r>
      <w:r w:rsidRPr="00F91959">
        <w:t>v aktualizovaném znění.</w:t>
      </w:r>
    </w:p>
    <w:p w14:paraId="44688979" w14:textId="566A48E5" w:rsidR="00182044" w:rsidRPr="00F91959" w:rsidRDefault="00182044" w:rsidP="00600901">
      <w:pPr>
        <w:pStyle w:val="D1Co-normln"/>
      </w:pPr>
      <w:r w:rsidRPr="00F91959">
        <w:t>Zákon o ochraně přírody a krajiny číslo 460/2004 (úplné znění 114/</w:t>
      </w:r>
      <w:r w:rsidR="00F00875" w:rsidRPr="00F91959">
        <w:t>19</w:t>
      </w:r>
      <w:r w:rsidRPr="00F91959">
        <w:t>92 Sb.) v aktualizovaném znění.</w:t>
      </w:r>
    </w:p>
    <w:p w14:paraId="796EB986" w14:textId="3D8C7C2C" w:rsidR="00182044" w:rsidRPr="00F91959" w:rsidRDefault="00182044" w:rsidP="00600901">
      <w:pPr>
        <w:pStyle w:val="D1Co-normln"/>
      </w:pPr>
      <w:r w:rsidRPr="00F91959">
        <w:lastRenderedPageBreak/>
        <w:t xml:space="preserve">Zákon o ochraně ovzduší č. </w:t>
      </w:r>
      <w:r w:rsidR="00F00875" w:rsidRPr="00F91959">
        <w:t>201</w:t>
      </w:r>
      <w:r w:rsidRPr="00F91959">
        <w:t>/20</w:t>
      </w:r>
      <w:r w:rsidR="00F00875" w:rsidRPr="00F91959">
        <w:t>1</w:t>
      </w:r>
      <w:r w:rsidRPr="00F91959">
        <w:t>2 S</w:t>
      </w:r>
      <w:r w:rsidR="00F00875" w:rsidRPr="00F91959">
        <w:t>b.</w:t>
      </w:r>
      <w:r w:rsidRPr="00F91959">
        <w:t xml:space="preserve"> v platném znění.</w:t>
      </w:r>
    </w:p>
    <w:p w14:paraId="27D05054" w14:textId="77777777" w:rsidR="00182044" w:rsidRPr="00F91959" w:rsidRDefault="00182044" w:rsidP="00600901">
      <w:pPr>
        <w:pStyle w:val="D1Co-normln"/>
      </w:pPr>
      <w:r w:rsidRPr="00F91959">
        <w:t>Zákon o lesích číslo 289/1995 Sb. v aktualizovaném znění.</w:t>
      </w:r>
    </w:p>
    <w:p w14:paraId="7DA669B9" w14:textId="77777777" w:rsidR="00182044" w:rsidRPr="00F91959" w:rsidRDefault="00182044" w:rsidP="00600901">
      <w:pPr>
        <w:pStyle w:val="D1Co-normln"/>
      </w:pPr>
      <w:r w:rsidRPr="00F91959">
        <w:t>Zákon o vodách číslo 254/2001 Sb. v aktualizovaném znění.</w:t>
      </w:r>
    </w:p>
    <w:p w14:paraId="7432DBC9" w14:textId="60F0B395" w:rsidR="00182044" w:rsidRPr="00F91959" w:rsidRDefault="00182044" w:rsidP="00600901">
      <w:pPr>
        <w:pStyle w:val="D1Co-normln"/>
      </w:pPr>
      <w:r w:rsidRPr="00F91959">
        <w:t>Zákon o ochraně zemědělského půdního fondu č</w:t>
      </w:r>
      <w:r w:rsidR="00751550" w:rsidRPr="00F91959">
        <w:t>íslo</w:t>
      </w:r>
      <w:r w:rsidRPr="00F91959">
        <w:t xml:space="preserve"> 334/1</w:t>
      </w:r>
      <w:r w:rsidR="00F00875" w:rsidRPr="00F91959">
        <w:t>9</w:t>
      </w:r>
      <w:r w:rsidRPr="00F91959">
        <w:t>92 v platném znění.</w:t>
      </w:r>
    </w:p>
    <w:p w14:paraId="0D265411" w14:textId="77777777" w:rsidR="00DD09DF" w:rsidRPr="003F7453" w:rsidRDefault="00DD09DF" w:rsidP="00600901">
      <w:pPr>
        <w:pStyle w:val="D1Co-normln"/>
        <w:rPr>
          <w:highlight w:val="yellow"/>
        </w:rPr>
      </w:pPr>
    </w:p>
    <w:p w14:paraId="3A92B4B6" w14:textId="4875C5B2" w:rsidR="004D1CD5" w:rsidRPr="00ED2CD0" w:rsidRDefault="004D1CD5" w:rsidP="006B4CC0">
      <w:pPr>
        <w:pStyle w:val="C2Co-Podsta"/>
        <w:numPr>
          <w:ilvl w:val="0"/>
          <w:numId w:val="19"/>
        </w:numPr>
        <w:tabs>
          <w:tab w:val="clear" w:pos="360"/>
        </w:tabs>
        <w:ind w:left="1134" w:hanging="425"/>
        <w:rPr>
          <w:rFonts w:cs="Arial"/>
        </w:rPr>
      </w:pPr>
      <w:bookmarkStart w:id="80" w:name="_Toc134690217"/>
      <w:r w:rsidRPr="00ED2CD0">
        <w:rPr>
          <w:rFonts w:cs="Arial"/>
        </w:rPr>
        <w:t>Vliv na přírodu a krajinu</w:t>
      </w:r>
      <w:r w:rsidR="00182044" w:rsidRPr="00ED2CD0">
        <w:rPr>
          <w:rFonts w:cs="Arial"/>
        </w:rPr>
        <w:t xml:space="preserve"> – ochrana dřevin, ochrana památných stromů, ochrana rostlin a živočichů, zachování ekologických funkcí a vazeb v krajině apod.</w:t>
      </w:r>
      <w:bookmarkEnd w:id="80"/>
    </w:p>
    <w:p w14:paraId="3FD353AE" w14:textId="77777777" w:rsidR="004811EF" w:rsidRPr="00ED2CD0" w:rsidRDefault="00D00929" w:rsidP="004D1CD5">
      <w:pPr>
        <w:pStyle w:val="D1Co-normln"/>
        <w:rPr>
          <w:rFonts w:cs="Arial"/>
        </w:rPr>
      </w:pPr>
      <w:r w:rsidRPr="00ED2CD0">
        <w:rPr>
          <w:rFonts w:cs="Arial"/>
        </w:rPr>
        <w:t xml:space="preserve">Řešená stavba nemá </w:t>
      </w:r>
      <w:r w:rsidR="004811EF" w:rsidRPr="00ED2CD0">
        <w:rPr>
          <w:rFonts w:cs="Arial"/>
        </w:rPr>
        <w:t>nepříznivý</w:t>
      </w:r>
      <w:r w:rsidRPr="00ED2CD0">
        <w:rPr>
          <w:rFonts w:cs="Arial"/>
        </w:rPr>
        <w:t xml:space="preserve"> vliv na přírodu a okolní krajinu. </w:t>
      </w:r>
    </w:p>
    <w:p w14:paraId="292B8B13" w14:textId="64B99D45" w:rsidR="004D1CD5" w:rsidRPr="00ED2CD0" w:rsidRDefault="00D00929" w:rsidP="004D1CD5">
      <w:pPr>
        <w:pStyle w:val="D1Co-normln"/>
        <w:rPr>
          <w:rFonts w:cs="Arial"/>
        </w:rPr>
      </w:pPr>
      <w:r w:rsidRPr="00ED2CD0">
        <w:rPr>
          <w:rFonts w:cs="Arial"/>
        </w:rPr>
        <w:t xml:space="preserve">Ekologické funkce a vazby nedoznají změn oproti stávajícímu stavu. </w:t>
      </w:r>
    </w:p>
    <w:p w14:paraId="06833365" w14:textId="77777777" w:rsidR="004D1CD5" w:rsidRPr="00ED2CD0" w:rsidRDefault="004D1CD5" w:rsidP="006B4CC0">
      <w:pPr>
        <w:pStyle w:val="C2Co-Podsta"/>
        <w:numPr>
          <w:ilvl w:val="0"/>
          <w:numId w:val="19"/>
        </w:numPr>
        <w:tabs>
          <w:tab w:val="clear" w:pos="360"/>
        </w:tabs>
        <w:ind w:left="1134" w:hanging="425"/>
        <w:rPr>
          <w:rFonts w:cs="Arial"/>
        </w:rPr>
      </w:pPr>
      <w:bookmarkStart w:id="81" w:name="_Toc134690218"/>
      <w:r w:rsidRPr="00ED2CD0">
        <w:rPr>
          <w:rFonts w:cs="Arial"/>
        </w:rPr>
        <w:t>Vliv na soustavu chráněných území Natura 2000</w:t>
      </w:r>
      <w:bookmarkEnd w:id="81"/>
    </w:p>
    <w:p w14:paraId="725754D9" w14:textId="77777777" w:rsidR="004D1CD5" w:rsidRPr="00ED2CD0" w:rsidRDefault="00CD1804" w:rsidP="004D1CD5">
      <w:pPr>
        <w:pStyle w:val="D1Co-normln"/>
        <w:rPr>
          <w:rFonts w:cs="Arial"/>
        </w:rPr>
      </w:pPr>
      <w:r w:rsidRPr="00ED2CD0">
        <w:rPr>
          <w:rFonts w:cs="Arial"/>
        </w:rPr>
        <w:t>Netýká se této stavby.</w:t>
      </w:r>
    </w:p>
    <w:p w14:paraId="1B5EFAA7" w14:textId="6BC7230B" w:rsidR="004D1CD5" w:rsidRPr="00ED2CD0" w:rsidRDefault="004811EF" w:rsidP="006B4CC0">
      <w:pPr>
        <w:pStyle w:val="C2Co-Podsta"/>
        <w:numPr>
          <w:ilvl w:val="0"/>
          <w:numId w:val="19"/>
        </w:numPr>
        <w:tabs>
          <w:tab w:val="clear" w:pos="360"/>
        </w:tabs>
        <w:ind w:left="1134" w:hanging="425"/>
        <w:rPr>
          <w:rFonts w:cs="Arial"/>
        </w:rPr>
      </w:pPr>
      <w:bookmarkStart w:id="82" w:name="_Toc134690219"/>
      <w:r w:rsidRPr="00ED2CD0">
        <w:rPr>
          <w:rFonts w:cs="Arial"/>
        </w:rPr>
        <w:t>Způsob</w:t>
      </w:r>
      <w:r w:rsidR="004D1CD5" w:rsidRPr="00ED2CD0">
        <w:rPr>
          <w:rFonts w:cs="Arial"/>
        </w:rPr>
        <w:t xml:space="preserve"> zohlednění podmínek </w:t>
      </w:r>
      <w:r w:rsidRPr="00ED2CD0">
        <w:rPr>
          <w:rFonts w:cs="Arial"/>
        </w:rPr>
        <w:t>závazného stanoviska posouzení vlivu záměru na životní prostředí</w:t>
      </w:r>
      <w:bookmarkEnd w:id="82"/>
    </w:p>
    <w:p w14:paraId="25C288D9" w14:textId="51984406" w:rsidR="007C7392" w:rsidRPr="00ED2CD0" w:rsidRDefault="00561832" w:rsidP="007640BB">
      <w:pPr>
        <w:pStyle w:val="D1Co-normln"/>
        <w:rPr>
          <w:rFonts w:cs="Arial"/>
        </w:rPr>
      </w:pPr>
      <w:r w:rsidRPr="00ED2CD0">
        <w:rPr>
          <w:rFonts w:cs="Arial"/>
        </w:rPr>
        <w:t>Netýká se této stavby.</w:t>
      </w:r>
    </w:p>
    <w:p w14:paraId="2DBA319D" w14:textId="0A50527B" w:rsidR="004811EF" w:rsidRPr="00ED2CD0" w:rsidRDefault="004811EF" w:rsidP="004811EF">
      <w:pPr>
        <w:pStyle w:val="C2Co-Podsta"/>
      </w:pPr>
      <w:bookmarkStart w:id="83" w:name="_Toc134690220"/>
      <w:r w:rsidRPr="00ED2CD0">
        <w:t>V případě záměrů spadajících do režimu zákona o integrované prevenci základní parametry způsobu naplnění závěrů o nejlepších dostupných technikách nebo integrované povolení, bylo-li vydáno</w:t>
      </w:r>
      <w:bookmarkEnd w:id="83"/>
    </w:p>
    <w:p w14:paraId="0CC8B18E" w14:textId="237C11EF" w:rsidR="004811EF" w:rsidRPr="00ED2CD0" w:rsidRDefault="004811EF" w:rsidP="004811EF">
      <w:pPr>
        <w:pStyle w:val="D1Co-normln"/>
      </w:pPr>
      <w:r w:rsidRPr="00ED2CD0">
        <w:t>Netýká se této stavby.</w:t>
      </w:r>
    </w:p>
    <w:p w14:paraId="3308BECE" w14:textId="77777777" w:rsidR="004D1CD5" w:rsidRPr="000A764D" w:rsidRDefault="004D1CD5" w:rsidP="006B4CC0">
      <w:pPr>
        <w:pStyle w:val="C2Co-Podsta"/>
        <w:numPr>
          <w:ilvl w:val="0"/>
          <w:numId w:val="19"/>
        </w:numPr>
        <w:tabs>
          <w:tab w:val="clear" w:pos="360"/>
        </w:tabs>
        <w:ind w:left="1134" w:hanging="425"/>
        <w:rPr>
          <w:rFonts w:cs="Arial"/>
        </w:rPr>
      </w:pPr>
      <w:bookmarkStart w:id="84" w:name="_Toc134690221"/>
      <w:r w:rsidRPr="000A764D">
        <w:rPr>
          <w:rFonts w:cs="Arial"/>
        </w:rPr>
        <w:t>Navrhovaná ochranná a bezpečnostní pásma, rozsah omezení a podmínky ochrany podle jiných právních předpisů</w:t>
      </w:r>
      <w:bookmarkEnd w:id="84"/>
    </w:p>
    <w:p w14:paraId="19307190" w14:textId="5A0EC412" w:rsidR="004811EF" w:rsidRPr="000A764D" w:rsidRDefault="004811EF" w:rsidP="00D85087">
      <w:pPr>
        <w:pStyle w:val="D1Co-normln"/>
        <w:spacing w:after="60"/>
      </w:pPr>
      <w:r w:rsidRPr="000A764D">
        <w:t>Ochranná pásma elektrického vedení jsou stanovena zákonem č. 458/2000 Sb. §46:</w:t>
      </w:r>
    </w:p>
    <w:p w14:paraId="797E73CD" w14:textId="7B94F103" w:rsidR="004811EF" w:rsidRDefault="001F60E8" w:rsidP="005551DB">
      <w:pPr>
        <w:pStyle w:val="D1Co-normln"/>
        <w:rPr>
          <w:rFonts w:cs="Arial"/>
        </w:rPr>
      </w:pPr>
      <w:proofErr w:type="spellStart"/>
      <w:r>
        <w:rPr>
          <w:rFonts w:cs="Arial"/>
        </w:rPr>
        <w:t>ods</w:t>
      </w:r>
      <w:proofErr w:type="spellEnd"/>
      <w:r>
        <w:rPr>
          <w:rFonts w:cs="Arial"/>
        </w:rPr>
        <w:t xml:space="preserve">. </w:t>
      </w:r>
      <w:r w:rsidR="00A0331C">
        <w:rPr>
          <w:rFonts w:cs="Arial"/>
        </w:rPr>
        <w:t>5</w:t>
      </w:r>
      <w:r>
        <w:rPr>
          <w:rFonts w:cs="Arial"/>
        </w:rPr>
        <w:t>)</w:t>
      </w:r>
      <w:r w:rsidR="005551DB">
        <w:rPr>
          <w:rFonts w:cs="Arial"/>
        </w:rPr>
        <w:t xml:space="preserve"> - </w:t>
      </w:r>
      <w:r>
        <w:rPr>
          <w:rFonts w:cs="Arial"/>
        </w:rPr>
        <w:t xml:space="preserve">Ochranné pásmo podzemního vedení elektrizační soustavy do napětí 110kV včetně a vedení řídící a zabezpečovací techniky činí </w:t>
      </w:r>
      <w:proofErr w:type="gramStart"/>
      <w:r>
        <w:rPr>
          <w:rFonts w:cs="Arial"/>
        </w:rPr>
        <w:t>1m</w:t>
      </w:r>
      <w:proofErr w:type="gramEnd"/>
      <w:r>
        <w:rPr>
          <w:rFonts w:cs="Arial"/>
        </w:rPr>
        <w:t xml:space="preserve"> po obou stranách krajního kabelu.</w:t>
      </w:r>
    </w:p>
    <w:p w14:paraId="1BEEFE7F" w14:textId="77777777" w:rsidR="007E2F68" w:rsidRDefault="007E2F68" w:rsidP="005551DB">
      <w:pPr>
        <w:pStyle w:val="D1Co-normln"/>
        <w:rPr>
          <w:rFonts w:cs="Arial"/>
        </w:rPr>
      </w:pPr>
    </w:p>
    <w:p w14:paraId="3B02667C" w14:textId="5F99A4AF" w:rsidR="00183FFB" w:rsidRPr="005551DB" w:rsidRDefault="00183FFB" w:rsidP="00183FFB">
      <w:pPr>
        <w:pStyle w:val="D1Co-normln"/>
        <w:rPr>
          <w:rFonts w:cs="Arial"/>
        </w:rPr>
      </w:pPr>
      <w:proofErr w:type="spellStart"/>
      <w:r>
        <w:rPr>
          <w:rFonts w:cs="Arial"/>
        </w:rPr>
        <w:t>ods</w:t>
      </w:r>
      <w:proofErr w:type="spellEnd"/>
      <w:r>
        <w:rPr>
          <w:rFonts w:cs="Arial"/>
        </w:rPr>
        <w:t xml:space="preserve">. 6) písm. C) - U kompaktních a zděných elektrických stanic s převodem napětí z úrovně 1kV a menší než 52 </w:t>
      </w:r>
      <w:proofErr w:type="spellStart"/>
      <w:r>
        <w:rPr>
          <w:rFonts w:cs="Arial"/>
        </w:rPr>
        <w:t>kV</w:t>
      </w:r>
      <w:proofErr w:type="spellEnd"/>
      <w:r>
        <w:rPr>
          <w:rFonts w:cs="Arial"/>
        </w:rPr>
        <w:t xml:space="preserve"> na úroveň nízkého napětí </w:t>
      </w:r>
      <w:proofErr w:type="gramStart"/>
      <w:r>
        <w:rPr>
          <w:rFonts w:cs="Arial"/>
        </w:rPr>
        <w:t>2m</w:t>
      </w:r>
      <w:proofErr w:type="gramEnd"/>
      <w:r>
        <w:rPr>
          <w:rFonts w:cs="Arial"/>
        </w:rPr>
        <w:t xml:space="preserve"> od vnějšího pláště stanice ve všech směrech</w:t>
      </w:r>
    </w:p>
    <w:p w14:paraId="260697AC" w14:textId="77777777" w:rsidR="0052620A" w:rsidRPr="005D2E91" w:rsidRDefault="00061470" w:rsidP="0052620A">
      <w:pPr>
        <w:pStyle w:val="BCo-B1"/>
      </w:pPr>
      <w:bookmarkStart w:id="85" w:name="_Toc459641839"/>
      <w:bookmarkStart w:id="86" w:name="_Toc459703131"/>
      <w:bookmarkStart w:id="87" w:name="_Toc134690222"/>
      <w:r w:rsidRPr="005D2E91">
        <w:t>Ochrana obyvatelstva</w:t>
      </w:r>
      <w:bookmarkEnd w:id="85"/>
      <w:bookmarkEnd w:id="86"/>
      <w:bookmarkEnd w:id="87"/>
    </w:p>
    <w:p w14:paraId="257C1707" w14:textId="339B006C" w:rsidR="008459C8" w:rsidRDefault="00D85087" w:rsidP="00D85087">
      <w:pPr>
        <w:pStyle w:val="D1Co-normln"/>
      </w:pPr>
      <w:r w:rsidRPr="005D2E91">
        <w:t xml:space="preserve">Vstupy na pozemky </w:t>
      </w:r>
      <w:r w:rsidR="008459C8">
        <w:t>bude zhotovitel předem konzultovat s městem Hořovice.</w:t>
      </w:r>
    </w:p>
    <w:p w14:paraId="4649C7CF" w14:textId="1BABED6E" w:rsidR="00D85087" w:rsidRPr="005D2E91" w:rsidRDefault="00D85087" w:rsidP="00D85087">
      <w:pPr>
        <w:pStyle w:val="D1Co-normln"/>
      </w:pPr>
      <w:r w:rsidRPr="005D2E91">
        <w:t>Veškeré výkopy budou zajištěny proti pádu nepovolaných osob (oplocení) a při snížené viditelnosti a ve tmě budou případně osvětleny; pro ohrazení budou použity kovové zábrany případně výstražná PVC fólie.</w:t>
      </w:r>
    </w:p>
    <w:p w14:paraId="2DC062D0" w14:textId="766F4E36" w:rsidR="00D85087" w:rsidRPr="005D2E91" w:rsidRDefault="00D85087" w:rsidP="00D85087">
      <w:pPr>
        <w:pStyle w:val="D1Co-normln"/>
      </w:pPr>
      <w:r w:rsidRPr="005D2E91">
        <w:t>Po dokončení realizačních prací nebude stavba v žádném přímém ani nepřímém vztahu k řešení ochrany obyvatelstva. Stavba je řešena tak, že není zdrojem jeho ohrožení.</w:t>
      </w:r>
    </w:p>
    <w:p w14:paraId="1158C111" w14:textId="77777777" w:rsidR="0052620A" w:rsidRPr="005D2E91" w:rsidRDefault="00061470" w:rsidP="0052620A">
      <w:pPr>
        <w:pStyle w:val="BCo-B1"/>
      </w:pPr>
      <w:bookmarkStart w:id="88" w:name="_Toc459641840"/>
      <w:bookmarkStart w:id="89" w:name="_Toc459703132"/>
      <w:bookmarkStart w:id="90" w:name="_Toc134690223"/>
      <w:r w:rsidRPr="005D2E91">
        <w:t>Zásady organizace výstavby</w:t>
      </w:r>
      <w:bookmarkEnd w:id="88"/>
      <w:bookmarkEnd w:id="89"/>
      <w:bookmarkEnd w:id="90"/>
    </w:p>
    <w:p w14:paraId="14F35ED4" w14:textId="1B2AADE5" w:rsidR="003B723A" w:rsidRPr="005D2E91" w:rsidRDefault="00D85087" w:rsidP="00427C84">
      <w:pPr>
        <w:pStyle w:val="C2Co-Podsta"/>
        <w:numPr>
          <w:ilvl w:val="0"/>
          <w:numId w:val="34"/>
        </w:numPr>
        <w:tabs>
          <w:tab w:val="clear" w:pos="360"/>
        </w:tabs>
        <w:ind w:left="1037" w:hanging="357"/>
        <w:rPr>
          <w:rFonts w:cs="Arial"/>
        </w:rPr>
      </w:pPr>
      <w:bookmarkStart w:id="91" w:name="_Toc134690224"/>
      <w:r w:rsidRPr="005D2E91">
        <w:rPr>
          <w:rFonts w:cs="Arial"/>
        </w:rPr>
        <w:t>Napojení staveniště na stávající dopravní a technickou infrastrukturu</w:t>
      </w:r>
      <w:bookmarkEnd w:id="91"/>
    </w:p>
    <w:p w14:paraId="7792ED52" w14:textId="7679F524" w:rsidR="00766B50" w:rsidRDefault="00D85087" w:rsidP="00017C84">
      <w:pPr>
        <w:pStyle w:val="D1Co-normln"/>
      </w:pPr>
      <w:r w:rsidRPr="005D2E91">
        <w:t>Vzhledem k rozsahu a předpokládanému charakteru stavby není potřebné napojení staveniště na stávající dopravní a technickou infrastrukturu.</w:t>
      </w:r>
    </w:p>
    <w:p w14:paraId="709A98BD" w14:textId="469E4592" w:rsidR="00707B67" w:rsidRPr="003A0074" w:rsidRDefault="00727EDC" w:rsidP="006B4CC0">
      <w:pPr>
        <w:pStyle w:val="C2Co-Podsta"/>
        <w:tabs>
          <w:tab w:val="clear" w:pos="360"/>
        </w:tabs>
        <w:rPr>
          <w:rFonts w:cs="Arial"/>
        </w:rPr>
      </w:pPr>
      <w:bookmarkStart w:id="92" w:name="_Toc134690225"/>
      <w:r w:rsidRPr="003A0074">
        <w:rPr>
          <w:rFonts w:cs="Arial"/>
        </w:rPr>
        <w:lastRenderedPageBreak/>
        <w:t>Ochrana okolí staveniště a požadavky na související asanace, demolice, kácení dřevin</w:t>
      </w:r>
      <w:bookmarkEnd w:id="92"/>
    </w:p>
    <w:p w14:paraId="75E289BC" w14:textId="29D4EFB1" w:rsidR="00731A8E" w:rsidRPr="003A0074" w:rsidRDefault="00727EDC" w:rsidP="00727EDC">
      <w:pPr>
        <w:pStyle w:val="D1Co-normln"/>
        <w:rPr>
          <w:rFonts w:cs="Arial"/>
        </w:rPr>
      </w:pPr>
      <w:r w:rsidRPr="003A0074">
        <w:t>Vzhledem k rozsahu a typu stavby nejsou kladeny zvláštní požadavky na ochranu okolí staveniště, asanace, demolice a kácení dřevin.</w:t>
      </w:r>
    </w:p>
    <w:p w14:paraId="0ECAF3E6" w14:textId="47394CD3" w:rsidR="00707B67" w:rsidRPr="00E63CE3" w:rsidRDefault="00727EDC" w:rsidP="006B4CC0">
      <w:pPr>
        <w:pStyle w:val="C2Co-Podsta"/>
        <w:tabs>
          <w:tab w:val="clear" w:pos="360"/>
        </w:tabs>
        <w:rPr>
          <w:rFonts w:cs="Arial"/>
        </w:rPr>
      </w:pPr>
      <w:bookmarkStart w:id="93" w:name="_Toc134690226"/>
      <w:r w:rsidRPr="00E63CE3">
        <w:rPr>
          <w:rFonts w:cs="Arial"/>
        </w:rPr>
        <w:t>Maximální dočasné a trvalé zábory pro staveniště</w:t>
      </w:r>
      <w:bookmarkEnd w:id="93"/>
    </w:p>
    <w:p w14:paraId="01BE1025" w14:textId="6571D698" w:rsidR="003A0074" w:rsidRPr="00E63CE3" w:rsidRDefault="003A0074" w:rsidP="00727EDC">
      <w:pPr>
        <w:pStyle w:val="D1Co-normln"/>
        <w:rPr>
          <w:rFonts w:cs="Arial"/>
        </w:rPr>
      </w:pPr>
      <w:r w:rsidRPr="00E63CE3">
        <w:rPr>
          <w:rFonts w:cs="Arial"/>
        </w:rPr>
        <w:t xml:space="preserve">V rámci stavby nejsou předpokládány </w:t>
      </w:r>
      <w:r w:rsidR="003C25D7" w:rsidRPr="00E63CE3">
        <w:rPr>
          <w:rFonts w:cs="Arial"/>
        </w:rPr>
        <w:t xml:space="preserve">trvalé zábory. V rámci uvedené stavby je předpokládán dočasný zábor </w:t>
      </w:r>
      <w:r w:rsidR="00E63CE3" w:rsidRPr="00E63CE3">
        <w:rPr>
          <w:rFonts w:cs="Arial"/>
        </w:rPr>
        <w:t xml:space="preserve">cca </w:t>
      </w:r>
      <w:proofErr w:type="gramStart"/>
      <w:r w:rsidR="00E63CE3" w:rsidRPr="00E63CE3">
        <w:rPr>
          <w:rFonts w:cs="Arial"/>
        </w:rPr>
        <w:t>200m</w:t>
      </w:r>
      <w:r w:rsidR="00E63CE3" w:rsidRPr="00E63CE3">
        <w:rPr>
          <w:rFonts w:cs="Arial"/>
          <w:vertAlign w:val="superscript"/>
        </w:rPr>
        <w:t>2</w:t>
      </w:r>
      <w:proofErr w:type="gramEnd"/>
      <w:r w:rsidR="00E63CE3" w:rsidRPr="00E63CE3">
        <w:rPr>
          <w:rFonts w:cs="Arial"/>
        </w:rPr>
        <w:t xml:space="preserve"> pro zřízení staveniště.</w:t>
      </w:r>
      <w:r w:rsidR="00937988">
        <w:rPr>
          <w:rFonts w:cs="Arial"/>
        </w:rPr>
        <w:t xml:space="preserve"> Staveniště bude zřízeno na pozemcích investora v blízkosti stavby a zřízením staveniště dojde k omezení v užívání pozemků.</w:t>
      </w:r>
    </w:p>
    <w:p w14:paraId="22953436" w14:textId="3CCBE84B" w:rsidR="00707B67" w:rsidRPr="00761C50" w:rsidRDefault="00727EDC" w:rsidP="006B4CC0">
      <w:pPr>
        <w:pStyle w:val="C2Co-Podsta"/>
        <w:tabs>
          <w:tab w:val="clear" w:pos="360"/>
        </w:tabs>
        <w:rPr>
          <w:rFonts w:cs="Arial"/>
        </w:rPr>
      </w:pPr>
      <w:bookmarkStart w:id="94" w:name="_Toc134690227"/>
      <w:r w:rsidRPr="00761C50">
        <w:rPr>
          <w:rFonts w:cs="Arial"/>
        </w:rPr>
        <w:t xml:space="preserve">Požadavky na bezbariérové </w:t>
      </w:r>
      <w:proofErr w:type="spellStart"/>
      <w:r w:rsidRPr="00761C50">
        <w:rPr>
          <w:rFonts w:cs="Arial"/>
        </w:rPr>
        <w:t>obchozí</w:t>
      </w:r>
      <w:proofErr w:type="spellEnd"/>
      <w:r w:rsidRPr="00761C50">
        <w:rPr>
          <w:rFonts w:cs="Arial"/>
        </w:rPr>
        <w:t xml:space="preserve"> trasy</w:t>
      </w:r>
      <w:bookmarkEnd w:id="94"/>
    </w:p>
    <w:p w14:paraId="71B04A42" w14:textId="67C25EE6" w:rsidR="00956339" w:rsidRPr="00761C50" w:rsidRDefault="00E4559A" w:rsidP="00727EDC">
      <w:pPr>
        <w:pStyle w:val="D1Co-normln"/>
      </w:pPr>
      <w:r w:rsidRPr="00761C50">
        <w:t xml:space="preserve">Vzhledem k tomu, že se stavba nachází ve veřejně nepřístupném prostoru nevznikají zde požadavky na bezbariérové </w:t>
      </w:r>
      <w:proofErr w:type="spellStart"/>
      <w:r w:rsidRPr="00761C50">
        <w:t>obchozí</w:t>
      </w:r>
      <w:proofErr w:type="spellEnd"/>
      <w:r w:rsidRPr="00761C50">
        <w:t xml:space="preserve"> trasy</w:t>
      </w:r>
      <w:r w:rsidR="00761C50" w:rsidRPr="00761C50">
        <w:t>.</w:t>
      </w:r>
    </w:p>
    <w:p w14:paraId="329E752F" w14:textId="77777777" w:rsidR="00727EDC" w:rsidRPr="00DD1686" w:rsidRDefault="00727EDC" w:rsidP="00727EDC">
      <w:pPr>
        <w:pStyle w:val="C2Co-Podsta"/>
        <w:tabs>
          <w:tab w:val="clear" w:pos="360"/>
        </w:tabs>
        <w:rPr>
          <w:rFonts w:cs="Arial"/>
        </w:rPr>
      </w:pPr>
      <w:bookmarkStart w:id="95" w:name="_Toc134690228"/>
      <w:r w:rsidRPr="00DD1686">
        <w:rPr>
          <w:rFonts w:cs="Arial"/>
        </w:rPr>
        <w:t>Bilance zemních prací, požadavky na přísun nebo deponie zemin</w:t>
      </w:r>
      <w:bookmarkEnd w:id="95"/>
    </w:p>
    <w:p w14:paraId="3ADEA71A" w14:textId="3B2E54F3" w:rsidR="00E8358F" w:rsidRPr="00DD1686" w:rsidRDefault="00E8358F" w:rsidP="0063638A">
      <w:pPr>
        <w:pStyle w:val="D1Co-normln"/>
      </w:pPr>
      <w:r w:rsidRPr="00DD1686">
        <w:t xml:space="preserve">V rámci uvedené stavby bude vytěžená zemina pro novou </w:t>
      </w:r>
      <w:r w:rsidR="00D832BF" w:rsidRPr="00DD1686">
        <w:t>transformační</w:t>
      </w:r>
      <w:r w:rsidRPr="00DD1686">
        <w:t xml:space="preserve"> stanici využita pro následný zásyp </w:t>
      </w:r>
      <w:r w:rsidR="00D832BF" w:rsidRPr="00DD1686">
        <w:t xml:space="preserve">vytěženého prostoru pod demontovanou transformační stanicí. </w:t>
      </w:r>
      <w:r w:rsidR="00055A5D" w:rsidRPr="00DD1686">
        <w:t>Případná dočasná deponie bude zřízena na místě stavby</w:t>
      </w:r>
      <w:r w:rsidR="00DD1686" w:rsidRPr="00DD1686">
        <w:t>.</w:t>
      </w:r>
    </w:p>
    <w:p w14:paraId="7051CDA9" w14:textId="799D8D72" w:rsidR="00600901" w:rsidRPr="00DD1686" w:rsidRDefault="00600901" w:rsidP="00600901">
      <w:pPr>
        <w:pStyle w:val="BCo-B1"/>
      </w:pPr>
      <w:bookmarkStart w:id="96" w:name="_Toc134690229"/>
      <w:r w:rsidRPr="00DD1686">
        <w:t>Celkové vodohospodářské řešení</w:t>
      </w:r>
      <w:bookmarkEnd w:id="96"/>
    </w:p>
    <w:p w14:paraId="2C4837FD" w14:textId="77B37254" w:rsidR="00600901" w:rsidRPr="00DD1686" w:rsidRDefault="00600901" w:rsidP="00600901">
      <w:pPr>
        <w:pStyle w:val="D1Co-normln"/>
      </w:pPr>
      <w:r w:rsidRPr="00DD1686">
        <w:t>Tato stavba není vodohospodářskou stavbou. Žádné řešení se nenavrhuje.</w:t>
      </w:r>
    </w:p>
    <w:p w14:paraId="19E3734B" w14:textId="77777777" w:rsidR="009849F7" w:rsidRPr="003F7453" w:rsidRDefault="009849F7" w:rsidP="009849F7">
      <w:pPr>
        <w:pStyle w:val="D1Co-normln"/>
        <w:ind w:left="0"/>
        <w:rPr>
          <w:highlight w:val="yellow"/>
        </w:rPr>
        <w:sectPr w:rsidR="009849F7" w:rsidRPr="003F7453" w:rsidSect="009849F7">
          <w:headerReference w:type="default" r:id="rId15"/>
          <w:pgSz w:w="11906" w:h="16838"/>
          <w:pgMar w:top="1815" w:right="1416" w:bottom="1417" w:left="1417" w:header="540" w:footer="708" w:gutter="0"/>
          <w:cols w:space="708"/>
          <w:docGrid w:linePitch="360"/>
        </w:sectPr>
      </w:pPr>
      <w:r w:rsidRPr="003F7453">
        <w:rPr>
          <w:highlight w:val="yellow"/>
        </w:rPr>
        <w:br w:type="page"/>
      </w:r>
    </w:p>
    <w:p w14:paraId="2295D43E" w14:textId="10C0A023" w:rsidR="009849F7" w:rsidRPr="00241402" w:rsidRDefault="009849F7" w:rsidP="009849F7">
      <w:pPr>
        <w:pStyle w:val="BCo-A1"/>
        <w:numPr>
          <w:ilvl w:val="0"/>
          <w:numId w:val="6"/>
        </w:numPr>
        <w:ind w:left="680" w:hanging="680"/>
        <w:rPr>
          <w:rFonts w:ascii="Arial" w:hAnsi="Arial"/>
        </w:rPr>
      </w:pPr>
      <w:bookmarkStart w:id="98" w:name="_Toc227642061"/>
      <w:bookmarkStart w:id="99" w:name="_Toc432066705"/>
      <w:bookmarkStart w:id="100" w:name="_Toc432066890"/>
      <w:bookmarkStart w:id="101" w:name="_Toc459124984"/>
      <w:bookmarkStart w:id="102" w:name="_Toc459290943"/>
      <w:bookmarkStart w:id="103" w:name="_Toc459291009"/>
      <w:bookmarkStart w:id="104" w:name="_Toc528307907"/>
      <w:r w:rsidRPr="00241402">
        <w:rPr>
          <w:rFonts w:ascii="Arial" w:hAnsi="Arial"/>
        </w:rPr>
        <w:lastRenderedPageBreak/>
        <w:t>Parcelní protokol – seznam dotčených nemovitostí a pozemků</w:t>
      </w:r>
      <w:bookmarkEnd w:id="98"/>
      <w:bookmarkEnd w:id="99"/>
      <w:bookmarkEnd w:id="100"/>
      <w:bookmarkEnd w:id="101"/>
      <w:bookmarkEnd w:id="102"/>
      <w:bookmarkEnd w:id="103"/>
      <w:bookmarkEnd w:id="104"/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851"/>
        <w:gridCol w:w="707"/>
        <w:gridCol w:w="990"/>
        <w:gridCol w:w="1288"/>
        <w:gridCol w:w="595"/>
        <w:gridCol w:w="1616"/>
        <w:gridCol w:w="1080"/>
        <w:gridCol w:w="786"/>
        <w:gridCol w:w="4983"/>
      </w:tblGrid>
      <w:tr w:rsidR="002B038D" w:rsidRPr="00241402" w14:paraId="348DF08A" w14:textId="77777777" w:rsidTr="002B038D">
        <w:trPr>
          <w:trHeight w:val="600"/>
        </w:trPr>
        <w:tc>
          <w:tcPr>
            <w:tcW w:w="403" w:type="pct"/>
            <w:shd w:val="clear" w:color="auto" w:fill="auto"/>
            <w:vAlign w:val="bottom"/>
            <w:hideMark/>
          </w:tcPr>
          <w:p w14:paraId="47A10C9A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proofErr w:type="spellStart"/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k.ú</w:t>
            </w:r>
            <w:proofErr w:type="spellEnd"/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086D5746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 parcely</w:t>
            </w:r>
          </w:p>
        </w:tc>
        <w:tc>
          <w:tcPr>
            <w:tcW w:w="252" w:type="pct"/>
            <w:shd w:val="clear" w:color="auto" w:fill="auto"/>
            <w:vAlign w:val="bottom"/>
            <w:hideMark/>
          </w:tcPr>
          <w:p w14:paraId="26965503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14:paraId="70481905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Výměra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14:paraId="18F4D938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14:paraId="043DEB53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Podíl</w:t>
            </w:r>
          </w:p>
        </w:tc>
        <w:tc>
          <w:tcPr>
            <w:tcW w:w="576" w:type="pct"/>
            <w:shd w:val="clear" w:color="auto" w:fill="auto"/>
            <w:vAlign w:val="bottom"/>
            <w:hideMark/>
          </w:tcPr>
          <w:p w14:paraId="5679888C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</w:t>
            </w:r>
          </w:p>
        </w:tc>
        <w:tc>
          <w:tcPr>
            <w:tcW w:w="385" w:type="pct"/>
            <w:shd w:val="clear" w:color="auto" w:fill="auto"/>
            <w:vAlign w:val="bottom"/>
            <w:hideMark/>
          </w:tcPr>
          <w:p w14:paraId="0F7841F2" w14:textId="5F8B66FE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 – Obec</w:t>
            </w:r>
          </w:p>
        </w:tc>
        <w:tc>
          <w:tcPr>
            <w:tcW w:w="280" w:type="pct"/>
            <w:shd w:val="clear" w:color="auto" w:fill="auto"/>
            <w:vAlign w:val="bottom"/>
            <w:hideMark/>
          </w:tcPr>
          <w:p w14:paraId="1386A7A6" w14:textId="149A1BDF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 – PSČ</w:t>
            </w:r>
          </w:p>
        </w:tc>
        <w:tc>
          <w:tcPr>
            <w:tcW w:w="1776" w:type="pct"/>
            <w:shd w:val="clear" w:color="auto" w:fill="auto"/>
            <w:vAlign w:val="bottom"/>
            <w:hideMark/>
          </w:tcPr>
          <w:p w14:paraId="6559314A" w14:textId="77777777" w:rsidR="002B038D" w:rsidRPr="00241402" w:rsidRDefault="002B03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Popis činnosti</w:t>
            </w:r>
          </w:p>
        </w:tc>
      </w:tr>
      <w:tr w:rsidR="002B038D" w:rsidRPr="00241402" w14:paraId="1791A720" w14:textId="77777777" w:rsidTr="002B038D">
        <w:trPr>
          <w:trHeight w:val="918"/>
        </w:trPr>
        <w:tc>
          <w:tcPr>
            <w:tcW w:w="403" w:type="pct"/>
            <w:shd w:val="clear" w:color="auto" w:fill="auto"/>
            <w:vAlign w:val="bottom"/>
          </w:tcPr>
          <w:p w14:paraId="4451ADC8" w14:textId="710E5304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303" w:type="pct"/>
            <w:shd w:val="clear" w:color="auto" w:fill="auto"/>
            <w:noWrap/>
            <w:vAlign w:val="bottom"/>
          </w:tcPr>
          <w:p w14:paraId="0C84AEB8" w14:textId="5A664048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color w:val="000000"/>
                <w:sz w:val="22"/>
                <w:szCs w:val="22"/>
              </w:rPr>
              <w:t>122/25</w:t>
            </w:r>
          </w:p>
        </w:tc>
        <w:tc>
          <w:tcPr>
            <w:tcW w:w="252" w:type="pct"/>
            <w:shd w:val="clear" w:color="auto" w:fill="auto"/>
            <w:noWrap/>
            <w:vAlign w:val="bottom"/>
          </w:tcPr>
          <w:p w14:paraId="1130BFE4" w14:textId="40F4173C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353" w:type="pct"/>
            <w:shd w:val="clear" w:color="auto" w:fill="auto"/>
            <w:noWrap/>
            <w:vAlign w:val="bottom"/>
          </w:tcPr>
          <w:p w14:paraId="163E45CD" w14:textId="61D76C58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2541</w:t>
            </w:r>
          </w:p>
        </w:tc>
        <w:tc>
          <w:tcPr>
            <w:tcW w:w="459" w:type="pct"/>
            <w:shd w:val="clear" w:color="auto" w:fill="auto"/>
            <w:vAlign w:val="bottom"/>
          </w:tcPr>
          <w:p w14:paraId="6E08973F" w14:textId="1E51729A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Město Hořovice</w:t>
            </w:r>
          </w:p>
        </w:tc>
        <w:tc>
          <w:tcPr>
            <w:tcW w:w="212" w:type="pct"/>
            <w:shd w:val="clear" w:color="auto" w:fill="auto"/>
            <w:vAlign w:val="bottom"/>
          </w:tcPr>
          <w:p w14:paraId="5A9F3A8E" w14:textId="4685EE18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1/1</w:t>
            </w:r>
          </w:p>
        </w:tc>
        <w:tc>
          <w:tcPr>
            <w:tcW w:w="576" w:type="pct"/>
            <w:shd w:val="clear" w:color="auto" w:fill="auto"/>
            <w:vAlign w:val="bottom"/>
          </w:tcPr>
          <w:p w14:paraId="29963E5E" w14:textId="3061A497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Palackého náměstí 2/2</w:t>
            </w:r>
          </w:p>
        </w:tc>
        <w:tc>
          <w:tcPr>
            <w:tcW w:w="385" w:type="pct"/>
            <w:shd w:val="clear" w:color="auto" w:fill="auto"/>
            <w:vAlign w:val="bottom"/>
          </w:tcPr>
          <w:p w14:paraId="03E35B64" w14:textId="2A2F50FA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14:paraId="4435CA7E" w14:textId="2CE2BA5A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268 01</w:t>
            </w:r>
          </w:p>
        </w:tc>
        <w:tc>
          <w:tcPr>
            <w:tcW w:w="1776" w:type="pct"/>
            <w:shd w:val="clear" w:color="auto" w:fill="auto"/>
            <w:vAlign w:val="bottom"/>
          </w:tcPr>
          <w:p w14:paraId="267FF990" w14:textId="7F764129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Výstavba nové transformační stanice</w:t>
            </w:r>
            <w:r w:rsidR="00330A1F">
              <w:rPr>
                <w:rFonts w:ascii="Calibri" w:hAnsi="Calibri" w:cs="Calibri"/>
                <w:color w:val="000000"/>
                <w:sz w:val="22"/>
                <w:szCs w:val="22"/>
              </w:rPr>
              <w:t>, včetně uzemnění</w:t>
            </w:r>
            <w:r w:rsidR="00D93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D93D07">
              <w:rPr>
                <w:rFonts w:ascii="Calibri" w:hAnsi="Calibri" w:cs="Calibri"/>
                <w:color w:val="000000"/>
                <w:sz w:val="22"/>
                <w:szCs w:val="22"/>
              </w:rPr>
              <w:t>Naspojkování</w:t>
            </w:r>
            <w:proofErr w:type="spellEnd"/>
            <w:r w:rsidR="00D93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přepojení stávajících kabelových vývodů pro zimní stadion.</w:t>
            </w:r>
          </w:p>
        </w:tc>
      </w:tr>
      <w:tr w:rsidR="002B038D" w:rsidRPr="003F7453" w14:paraId="1B83DD0D" w14:textId="77777777" w:rsidTr="002B038D">
        <w:trPr>
          <w:trHeight w:val="600"/>
        </w:trPr>
        <w:tc>
          <w:tcPr>
            <w:tcW w:w="403" w:type="pct"/>
            <w:shd w:val="clear" w:color="auto" w:fill="auto"/>
            <w:vAlign w:val="bottom"/>
          </w:tcPr>
          <w:p w14:paraId="49C52275" w14:textId="2FC46D3C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303" w:type="pct"/>
            <w:shd w:val="clear" w:color="auto" w:fill="auto"/>
            <w:noWrap/>
            <w:vAlign w:val="bottom"/>
          </w:tcPr>
          <w:p w14:paraId="2AC7C64F" w14:textId="2DF95310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52" w:type="pct"/>
            <w:shd w:val="clear" w:color="auto" w:fill="auto"/>
            <w:noWrap/>
            <w:vAlign w:val="bottom"/>
          </w:tcPr>
          <w:p w14:paraId="6AF1696C" w14:textId="0EE9FA04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1402">
              <w:rPr>
                <w:rFonts w:ascii="Calibri" w:hAnsi="Calibri" w:cs="Calibri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353" w:type="pct"/>
            <w:shd w:val="clear" w:color="auto" w:fill="auto"/>
            <w:noWrap/>
            <w:vAlign w:val="bottom"/>
          </w:tcPr>
          <w:p w14:paraId="4A665449" w14:textId="78DFF13F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3572</w:t>
            </w:r>
          </w:p>
        </w:tc>
        <w:tc>
          <w:tcPr>
            <w:tcW w:w="459" w:type="pct"/>
            <w:shd w:val="clear" w:color="auto" w:fill="auto"/>
            <w:vAlign w:val="bottom"/>
          </w:tcPr>
          <w:p w14:paraId="52BC5EB1" w14:textId="031B1504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Město Hořovice</w:t>
            </w:r>
          </w:p>
        </w:tc>
        <w:tc>
          <w:tcPr>
            <w:tcW w:w="212" w:type="pct"/>
            <w:shd w:val="clear" w:color="auto" w:fill="auto"/>
            <w:vAlign w:val="bottom"/>
          </w:tcPr>
          <w:p w14:paraId="1F8994E7" w14:textId="4101F9EB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1/1</w:t>
            </w:r>
          </w:p>
        </w:tc>
        <w:tc>
          <w:tcPr>
            <w:tcW w:w="576" w:type="pct"/>
            <w:shd w:val="clear" w:color="auto" w:fill="auto"/>
            <w:vAlign w:val="bottom"/>
          </w:tcPr>
          <w:p w14:paraId="7C222B45" w14:textId="03DD8072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Palackého náměstí 2/2</w:t>
            </w:r>
          </w:p>
        </w:tc>
        <w:tc>
          <w:tcPr>
            <w:tcW w:w="385" w:type="pct"/>
            <w:shd w:val="clear" w:color="auto" w:fill="auto"/>
            <w:vAlign w:val="bottom"/>
          </w:tcPr>
          <w:p w14:paraId="45E2EF9A" w14:textId="63955840" w:rsidR="002B038D" w:rsidRPr="00241402" w:rsidRDefault="002B038D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14:paraId="2E0EB266" w14:textId="736769FC" w:rsidR="002B038D" w:rsidRPr="00241402" w:rsidRDefault="002B038D" w:rsidP="002B038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268 01</w:t>
            </w:r>
          </w:p>
        </w:tc>
        <w:tc>
          <w:tcPr>
            <w:tcW w:w="1776" w:type="pct"/>
            <w:shd w:val="clear" w:color="auto" w:fill="auto"/>
            <w:vAlign w:val="bottom"/>
          </w:tcPr>
          <w:p w14:paraId="71E5E4AE" w14:textId="274542D5" w:rsidR="002B038D" w:rsidRPr="00241402" w:rsidRDefault="00D93D07" w:rsidP="002B03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Výstavba nové transformační stanice, včetně uzemnění.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Naspojkování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přepojení stávajících kabelových vývodů pro zimní stadion.</w:t>
            </w:r>
          </w:p>
        </w:tc>
      </w:tr>
    </w:tbl>
    <w:p w14:paraId="6F6DC570" w14:textId="6140695F" w:rsidR="00AC37CA" w:rsidRPr="00AC37CA" w:rsidRDefault="00AC37CA" w:rsidP="00AC37CA">
      <w:pPr>
        <w:tabs>
          <w:tab w:val="left" w:pos="1905"/>
        </w:tabs>
      </w:pPr>
    </w:p>
    <w:sectPr w:rsidR="00AC37CA" w:rsidRPr="00AC37CA" w:rsidSect="00520BCA">
      <w:headerReference w:type="default" r:id="rId16"/>
      <w:footerReference w:type="default" r:id="rId17"/>
      <w:pgSz w:w="16838" w:h="11906" w:orient="landscape"/>
      <w:pgMar w:top="1440" w:right="1080" w:bottom="1440" w:left="108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2D6E" w14:textId="77777777" w:rsidR="006B7A7D" w:rsidRDefault="006B7A7D">
      <w:r>
        <w:separator/>
      </w:r>
    </w:p>
  </w:endnote>
  <w:endnote w:type="continuationSeparator" w:id="0">
    <w:p w14:paraId="4230533A" w14:textId="77777777" w:rsidR="006B7A7D" w:rsidRDefault="006B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2317" w14:textId="77777777" w:rsidR="00D4133C" w:rsidRDefault="00D41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AD9F" w14:textId="742EA491" w:rsidR="00D7018D" w:rsidRPr="00D7018D" w:rsidRDefault="00367427" w:rsidP="00D7018D">
    <w:pPr>
      <w:pStyle w:val="Zpat"/>
      <w:jc w:val="right"/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F1242CA" wp14:editId="1A6D7503">
              <wp:simplePos x="0" y="0"/>
              <wp:positionH relativeFrom="column">
                <wp:align>center</wp:align>
              </wp:positionH>
              <wp:positionV relativeFrom="paragraph">
                <wp:posOffset>-161291</wp:posOffset>
              </wp:positionV>
              <wp:extent cx="6480175" cy="0"/>
              <wp:effectExtent l="0" t="0" r="0" b="0"/>
              <wp:wrapNone/>
              <wp:docPr id="5" name="Přímá spojnice se šipkou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038DC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5" o:spid="_x0000_s1026" type="#_x0000_t32" style="position:absolute;margin-left:0;margin-top:-12.7pt;width:510.25pt;height:0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dnlmxdwAAAAJAQAADwAAAGRy&#10;cy9kb3ducmV2LnhtbEyPUUsDMRCE3wX/Q1jBtzbxsK2clytBqg8iiNUfsL2sd8HL5rik7fXfNwVB&#10;H2dnmfmmWk++Fwcaowus4W6uQBA3wTpuNXx9Ps8eQMSEbLEPTBpOFGFdX19VWNpw5A86bFMrcgjH&#10;EjV0KQ2llLHpyGOch4E4e99h9JiyHFtpRzzmcN/LQqml9Og4N3Q40FNHzc927zWsVm6pBmNejHKb&#10;Ynx7fzUbhVrf3kzmEUSiKf09wwU/o0OdmXZhzzaKXkMekjTMisU9iIutCrUAsfs9ybqS/xfUZwA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B2eWbF3AAAAAkBAAAPAAAAAAAAAAAAAAAA&#10;ABsEAABkcnMvZG93bnJldi54bWxQSwUGAAAAAAQABADzAAAAJAUAAAAA&#10;" strokecolor="#16ae86" strokeweight="1.5pt"/>
          </w:pict>
        </mc:Fallback>
      </mc:AlternateContent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19E1F" w14:textId="77777777" w:rsidR="00D4133C" w:rsidRDefault="00D4133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47C8" w14:textId="459D73C8" w:rsidR="00D7018D" w:rsidRPr="00D7018D" w:rsidRDefault="00367427" w:rsidP="00D7018D">
    <w:pPr>
      <w:pStyle w:val="Zpat"/>
      <w:jc w:val="right"/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FA8CA9" wp14:editId="4CC1E5E6">
              <wp:simplePos x="0" y="0"/>
              <wp:positionH relativeFrom="column">
                <wp:align>center</wp:align>
              </wp:positionH>
              <wp:positionV relativeFrom="paragraph">
                <wp:posOffset>-161290</wp:posOffset>
              </wp:positionV>
              <wp:extent cx="9359900" cy="0"/>
              <wp:effectExtent l="9525" t="10160" r="12700" b="1841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6F2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-12.7pt;width:737pt;height:0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" strokecolor="#16ae86" strokeweight="1.5pt">
              <v:shadow color="#1f4d78" opacity=".5" offset="1pt"/>
            </v:shape>
          </w:pict>
        </mc:Fallback>
      </mc:AlternateContent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28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7F8E" w14:textId="77777777" w:rsidR="006B7A7D" w:rsidRDefault="006B7A7D">
      <w:r>
        <w:separator/>
      </w:r>
    </w:p>
  </w:footnote>
  <w:footnote w:type="continuationSeparator" w:id="0">
    <w:p w14:paraId="35EB2C45" w14:textId="77777777" w:rsidR="006B7A7D" w:rsidRDefault="006B7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E90C" w14:textId="77777777" w:rsidR="00D4133C" w:rsidRDefault="00D413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A696" w14:textId="77777777" w:rsidR="00AD3D92" w:rsidRDefault="00AD3D92" w:rsidP="00F87580">
    <w:pPr>
      <w:pStyle w:val="Zhlav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367FC" w14:textId="77777777" w:rsidR="00D4133C" w:rsidRDefault="00D4133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</w:tblGrid>
    <w:tr w:rsidR="008C1DA3" w14:paraId="036CD69D" w14:textId="77777777" w:rsidTr="008C1DA3">
      <w:trPr>
        <w:trHeight w:val="252"/>
      </w:trPr>
      <w:tc>
        <w:tcPr>
          <w:tcW w:w="4678" w:type="dxa"/>
        </w:tcPr>
        <w:p w14:paraId="777FF87D" w14:textId="3E5F03E9" w:rsidR="008C1DA3" w:rsidRPr="008C1DA3" w:rsidRDefault="008C1DA3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  <w:bookmarkStart w:id="97" w:name="_Hlk85610372"/>
        </w:p>
      </w:tc>
    </w:tr>
    <w:tr w:rsidR="008C1DA3" w14:paraId="0CA807A5" w14:textId="77777777" w:rsidTr="008C1DA3">
      <w:trPr>
        <w:trHeight w:val="252"/>
      </w:trPr>
      <w:tc>
        <w:tcPr>
          <w:tcW w:w="4678" w:type="dxa"/>
        </w:tcPr>
        <w:p w14:paraId="0171FA9D" w14:textId="63E8240D" w:rsidR="008C1DA3" w:rsidRPr="0097531D" w:rsidRDefault="0097531D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  <w:r w:rsidRPr="0097531D">
            <w:rPr>
              <w:rFonts w:ascii="Arial" w:hAnsi="Arial"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8C1DA3" w14:paraId="3BDF3F57" w14:textId="77777777" w:rsidTr="008C1DA3">
      <w:trPr>
        <w:trHeight w:val="252"/>
      </w:trPr>
      <w:tc>
        <w:tcPr>
          <w:tcW w:w="4678" w:type="dxa"/>
        </w:tcPr>
        <w:p w14:paraId="2539F7AC" w14:textId="57D7447A" w:rsidR="008C1DA3" w:rsidRPr="008C1DA3" w:rsidRDefault="008C1DA3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color w:val="16AE86"/>
              <w:sz w:val="20"/>
            </w:rPr>
          </w:pPr>
          <w:r>
            <w:rPr>
              <w:rFonts w:ascii="Arial" w:hAnsi="Arial" w:cs="Arial"/>
              <w:bCs/>
              <w:color w:val="16AE86"/>
              <w:sz w:val="20"/>
            </w:rPr>
            <w:t>B. Souhrnná technická zpráva</w:t>
          </w:r>
        </w:p>
      </w:tc>
    </w:tr>
  </w:tbl>
  <w:p w14:paraId="6A132094" w14:textId="1E2542F5" w:rsidR="00EB30F8" w:rsidRPr="008C1DA3" w:rsidRDefault="008C1DA3" w:rsidP="008C1DA3">
    <w:pPr>
      <w:pStyle w:val="Zhlav"/>
    </w:pPr>
    <w:r>
      <w:rPr>
        <w:rFonts w:cs="Arial"/>
        <w:bCs/>
        <w:noProof/>
        <w:color w:val="16AE86"/>
        <w:sz w:val="20"/>
      </w:rPr>
      <w:drawing>
        <wp:anchor distT="0" distB="0" distL="114300" distR="114300" simplePos="0" relativeHeight="251677696" behindDoc="0" locked="0" layoutInCell="1" allowOverlap="1" wp14:anchorId="1CD109EB" wp14:editId="1A76486D">
          <wp:simplePos x="0" y="0"/>
          <wp:positionH relativeFrom="column">
            <wp:posOffset>4391025</wp:posOffset>
          </wp:positionH>
          <wp:positionV relativeFrom="paragraph">
            <wp:posOffset>-648335</wp:posOffset>
          </wp:positionV>
          <wp:extent cx="1668780" cy="630555"/>
          <wp:effectExtent l="0" t="0" r="762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7427">
      <w:rPr>
        <w:noProof/>
      </w:rPr>
      <mc:AlternateContent>
        <mc:Choice Requires="wps">
          <w:drawing>
            <wp:anchor distT="4294967295" distB="4294967295" distL="114300" distR="114300" simplePos="0" relativeHeight="251709952" behindDoc="0" locked="0" layoutInCell="1" allowOverlap="1" wp14:anchorId="68D2BBEA" wp14:editId="44201728">
              <wp:simplePos x="0" y="0"/>
              <wp:positionH relativeFrom="column">
                <wp:posOffset>-382905</wp:posOffset>
              </wp:positionH>
              <wp:positionV relativeFrom="paragraph">
                <wp:posOffset>58419</wp:posOffset>
              </wp:positionV>
              <wp:extent cx="6480175" cy="0"/>
              <wp:effectExtent l="0" t="0" r="0" b="0"/>
              <wp:wrapNone/>
              <wp:docPr id="3" name="Přímá spojnice se šipko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EC33A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3" o:spid="_x0000_s1026" type="#_x0000_t32" style="position:absolute;margin-left:-30.15pt;margin-top:4.6pt;width:510.25pt;height:0;z-index:25170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" strokecolor="#16ae86" strokeweight="1.5pt"/>
          </w:pict>
        </mc:Fallback>
      </mc:AlternateContent>
    </w:r>
    <w:r>
      <w:tab/>
    </w:r>
    <w:r>
      <w:tab/>
    </w:r>
    <w:r>
      <w:tab/>
    </w:r>
    <w:r>
      <w:tab/>
    </w:r>
  </w:p>
  <w:bookmarkEnd w:id="9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80C1" w14:textId="77777777" w:rsidR="008C1DA3" w:rsidRPr="00D7018D" w:rsidRDefault="00D7018D" w:rsidP="008C1DA3">
    <w:pPr>
      <w:pStyle w:val="Zhlav"/>
      <w:tabs>
        <w:tab w:val="clear" w:pos="4536"/>
      </w:tabs>
      <w:ind w:left="567" w:hanging="567"/>
      <w:rPr>
        <w:rFonts w:ascii="Arial" w:hAnsi="Arial" w:cs="Arial"/>
        <w:bCs/>
        <w:color w:val="16AE86"/>
        <w:sz w:val="20"/>
      </w:rPr>
    </w:pPr>
    <w:r w:rsidRPr="00D7018D">
      <w:rPr>
        <w:rFonts w:ascii="Arial" w:hAnsi="Arial" w:cs="Arial"/>
        <w:bCs/>
        <w:noProof/>
        <w:color w:val="16AE86"/>
        <w:sz w:val="20"/>
      </w:rPr>
      <w:drawing>
        <wp:anchor distT="0" distB="0" distL="114300" distR="114300" simplePos="0" relativeHeight="251641856" behindDoc="0" locked="0" layoutInCell="1" allowOverlap="1" wp14:anchorId="582D861A" wp14:editId="6074576D">
          <wp:simplePos x="0" y="0"/>
          <wp:positionH relativeFrom="column">
            <wp:posOffset>7654925</wp:posOffset>
          </wp:positionH>
          <wp:positionV relativeFrom="paragraph">
            <wp:posOffset>99695</wp:posOffset>
          </wp:positionV>
          <wp:extent cx="1668780" cy="63055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</w:tblGrid>
    <w:tr w:rsidR="008C1DA3" w14:paraId="40ABBFFD" w14:textId="77777777" w:rsidTr="008C1DA3">
      <w:trPr>
        <w:trHeight w:val="252"/>
      </w:trPr>
      <w:tc>
        <w:tcPr>
          <w:tcW w:w="4678" w:type="dxa"/>
        </w:tcPr>
        <w:p w14:paraId="2F613E9C" w14:textId="26964D72" w:rsidR="008C1DA3" w:rsidRPr="008C1DA3" w:rsidRDefault="008C1DA3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</w:p>
      </w:tc>
    </w:tr>
    <w:tr w:rsidR="00F1608D" w14:paraId="169F857F" w14:textId="77777777" w:rsidTr="008C1DA3">
      <w:trPr>
        <w:trHeight w:val="252"/>
      </w:trPr>
      <w:tc>
        <w:tcPr>
          <w:tcW w:w="4678" w:type="dxa"/>
        </w:tcPr>
        <w:p w14:paraId="17F1142B" w14:textId="17E81DC0" w:rsidR="00F1608D" w:rsidRPr="008C1DA3" w:rsidRDefault="00F1608D" w:rsidP="00F1608D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  <w:r w:rsidRPr="0097531D">
            <w:rPr>
              <w:rFonts w:ascii="Arial" w:hAnsi="Arial"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F1608D" w14:paraId="727B4B10" w14:textId="77777777" w:rsidTr="008C1DA3">
      <w:trPr>
        <w:trHeight w:val="252"/>
      </w:trPr>
      <w:tc>
        <w:tcPr>
          <w:tcW w:w="4678" w:type="dxa"/>
        </w:tcPr>
        <w:p w14:paraId="00D124BE" w14:textId="668ABF54" w:rsidR="00F1608D" w:rsidRPr="008C1DA3" w:rsidRDefault="00F1608D" w:rsidP="00F1608D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color w:val="16AE86"/>
              <w:sz w:val="20"/>
            </w:rPr>
          </w:pPr>
          <w:r>
            <w:rPr>
              <w:rFonts w:ascii="Arial" w:hAnsi="Arial" w:cs="Arial"/>
              <w:bCs/>
              <w:color w:val="16AE86"/>
              <w:sz w:val="20"/>
            </w:rPr>
            <w:t>B. Souhrnná technická zpráva</w:t>
          </w:r>
        </w:p>
      </w:tc>
    </w:tr>
  </w:tbl>
  <w:p w14:paraId="151465F1" w14:textId="1BB0E1C1" w:rsidR="003201A5" w:rsidRDefault="00367427" w:rsidP="00734469">
    <w:pPr>
      <w:pStyle w:val="CH3-Zhlav-dokument"/>
      <w:ind w:left="360"/>
      <w:jc w:val="left"/>
      <w:rPr>
        <w:i w:val="0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9B6850" wp14:editId="3FFE5933">
              <wp:simplePos x="0" y="0"/>
              <wp:positionH relativeFrom="column">
                <wp:align>center</wp:align>
              </wp:positionH>
              <wp:positionV relativeFrom="paragraph">
                <wp:posOffset>38100</wp:posOffset>
              </wp:positionV>
              <wp:extent cx="9359900" cy="0"/>
              <wp:effectExtent l="9525" t="9525" r="12700" b="952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4F63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0;margin-top:3pt;width:737pt;height:0;z-index:2516674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" strokecolor="#16ae86" strokeweight="1.5pt">
              <v:shadow color="#1f4d78" opacity=".5" offset="1pt"/>
            </v:shape>
          </w:pict>
        </mc:Fallback>
      </mc:AlternateContent>
    </w:r>
    <w:r w:rsidR="003201A5" w:rsidRPr="00734469">
      <w:rPr>
        <w:i w:val="0"/>
      </w:rPr>
      <w:tab/>
    </w:r>
  </w:p>
  <w:p w14:paraId="4A97815A" w14:textId="77777777" w:rsidR="003201A5" w:rsidRDefault="003201A5" w:rsidP="00902BCA">
    <w:pPr>
      <w:pStyle w:val="CH3-Zhlav-dokument"/>
      <w:ind w:left="360"/>
      <w:jc w:val="left"/>
    </w:pPr>
    <w:r>
      <w:rPr>
        <w:i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DE0EC1"/>
    <w:multiLevelType w:val="hybridMultilevel"/>
    <w:tmpl w:val="10F4A716"/>
    <w:lvl w:ilvl="0" w:tplc="9146CFE4">
      <w:start w:val="1"/>
      <w:numFmt w:val="decimal"/>
      <w:pStyle w:val="BCo-B1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004BF"/>
    <w:multiLevelType w:val="singleLevel"/>
    <w:tmpl w:val="ACCA6388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BF34FD"/>
    <w:multiLevelType w:val="hybridMultilevel"/>
    <w:tmpl w:val="36421492"/>
    <w:lvl w:ilvl="0" w:tplc="6D5A7F0A">
      <w:numFmt w:val="bullet"/>
      <w:lvlText w:val="-"/>
      <w:lvlJc w:val="left"/>
      <w:pPr>
        <w:ind w:left="1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4" w15:restartNumberingAfterBreak="0">
    <w:nsid w:val="1673664B"/>
    <w:multiLevelType w:val="hybridMultilevel"/>
    <w:tmpl w:val="1E12236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5A193D"/>
    <w:multiLevelType w:val="multilevel"/>
    <w:tmpl w:val="5DBEC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pStyle w:val="Nadpis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CA1695"/>
    <w:multiLevelType w:val="hybridMultilevel"/>
    <w:tmpl w:val="AC4A0A84"/>
    <w:lvl w:ilvl="0" w:tplc="EE0CD6D0">
      <w:start w:val="2"/>
      <w:numFmt w:val="upperLetter"/>
      <w:pStyle w:val="ACo-nadpis"/>
      <w:lvlText w:val="%1."/>
      <w:lvlJc w:val="left"/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B5802"/>
    <w:multiLevelType w:val="hybridMultilevel"/>
    <w:tmpl w:val="F4E0B4E4"/>
    <w:lvl w:ilvl="0" w:tplc="E3B675E6">
      <w:start w:val="1"/>
      <w:numFmt w:val="decimal"/>
      <w:lvlText w:val="i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8" w15:restartNumberingAfterBreak="0">
    <w:nsid w:val="27134148"/>
    <w:multiLevelType w:val="hybridMultilevel"/>
    <w:tmpl w:val="E256859A"/>
    <w:lvl w:ilvl="0" w:tplc="C5AE26BC">
      <w:start w:val="1"/>
      <w:numFmt w:val="decimal"/>
      <w:lvlText w:val="B.2.%1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2A385C94"/>
    <w:multiLevelType w:val="hybridMultilevel"/>
    <w:tmpl w:val="D5024D00"/>
    <w:lvl w:ilvl="0" w:tplc="04050005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0" w15:restartNumberingAfterBreak="0">
    <w:nsid w:val="2A676B25"/>
    <w:multiLevelType w:val="hybridMultilevel"/>
    <w:tmpl w:val="4CC8FBF6"/>
    <w:lvl w:ilvl="0" w:tplc="04050005">
      <w:start w:val="1"/>
      <w:numFmt w:val="bullet"/>
      <w:lvlText w:val=""/>
      <w:lvlJc w:val="left"/>
      <w:pPr>
        <w:ind w:left="14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FD66BE4"/>
    <w:multiLevelType w:val="hybridMultilevel"/>
    <w:tmpl w:val="ADD8E852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3DE657F3"/>
    <w:multiLevelType w:val="hybridMultilevel"/>
    <w:tmpl w:val="B170A2B4"/>
    <w:lvl w:ilvl="0" w:tplc="3A788CEC">
      <w:start w:val="1"/>
      <w:numFmt w:val="decimal"/>
      <w:lvlText w:val="f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E172794"/>
    <w:multiLevelType w:val="hybridMultilevel"/>
    <w:tmpl w:val="397C9838"/>
    <w:lvl w:ilvl="0" w:tplc="7EC81D9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9E3003"/>
    <w:multiLevelType w:val="hybridMultilevel"/>
    <w:tmpl w:val="5CE40DF6"/>
    <w:lvl w:ilvl="0" w:tplc="DE9EDD46">
      <w:numFmt w:val="bullet"/>
      <w:lvlText w:val="-"/>
      <w:lvlJc w:val="left"/>
      <w:pPr>
        <w:ind w:left="14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5" w15:restartNumberingAfterBreak="0">
    <w:nsid w:val="50E93771"/>
    <w:multiLevelType w:val="hybridMultilevel"/>
    <w:tmpl w:val="595EDB80"/>
    <w:lvl w:ilvl="0" w:tplc="FE24596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5F600B"/>
    <w:multiLevelType w:val="hybridMultilevel"/>
    <w:tmpl w:val="A1B06300"/>
    <w:lvl w:ilvl="0" w:tplc="64661866">
      <w:start w:val="1"/>
      <w:numFmt w:val="decimal"/>
      <w:lvlText w:val="k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7" w15:restartNumberingAfterBreak="0">
    <w:nsid w:val="545A43B2"/>
    <w:multiLevelType w:val="hybridMultilevel"/>
    <w:tmpl w:val="74988A3E"/>
    <w:lvl w:ilvl="0" w:tplc="04050017">
      <w:start w:val="1"/>
      <w:numFmt w:val="lowerLetter"/>
      <w:lvlText w:val="%1)"/>
      <w:lvlJc w:val="left"/>
      <w:pPr>
        <w:ind w:left="1825" w:hanging="360"/>
      </w:p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8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C805D76"/>
    <w:multiLevelType w:val="hybridMultilevel"/>
    <w:tmpl w:val="FE00015A"/>
    <w:lvl w:ilvl="0" w:tplc="E70C7E90">
      <w:start w:val="1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3BC7708"/>
    <w:multiLevelType w:val="hybridMultilevel"/>
    <w:tmpl w:val="D8D4D692"/>
    <w:lvl w:ilvl="0" w:tplc="04050005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2" w15:restartNumberingAfterBreak="0">
    <w:nsid w:val="63E478C8"/>
    <w:multiLevelType w:val="hybridMultilevel"/>
    <w:tmpl w:val="016E292A"/>
    <w:lvl w:ilvl="0" w:tplc="E70C7E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64A11"/>
    <w:multiLevelType w:val="hybridMultilevel"/>
    <w:tmpl w:val="7E9EFD72"/>
    <w:lvl w:ilvl="0" w:tplc="158CF9A2">
      <w:start w:val="18"/>
      <w:numFmt w:val="bullet"/>
      <w:lvlText w:val="-"/>
      <w:lvlJc w:val="left"/>
      <w:pPr>
        <w:ind w:left="11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7B40084"/>
    <w:multiLevelType w:val="multilevel"/>
    <w:tmpl w:val="16DE8A70"/>
    <w:lvl w:ilvl="0">
      <w:start w:val="1"/>
      <w:numFmt w:val="decimal"/>
      <w:pStyle w:val="Nadpis1"/>
      <w:lvlText w:val="B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7D1A2C6B"/>
    <w:multiLevelType w:val="hybridMultilevel"/>
    <w:tmpl w:val="80583586"/>
    <w:lvl w:ilvl="0" w:tplc="0405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7" w15:restartNumberingAfterBreak="0">
    <w:nsid w:val="7E9E4104"/>
    <w:multiLevelType w:val="hybridMultilevel"/>
    <w:tmpl w:val="C75814C0"/>
    <w:lvl w:ilvl="0" w:tplc="25929A52">
      <w:start w:val="1"/>
      <w:numFmt w:val="decimal"/>
      <w:lvlText w:val="a.%1"/>
      <w:lvlJc w:val="left"/>
      <w:pPr>
        <w:ind w:left="18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num w:numId="1" w16cid:durableId="124743605">
    <w:abstractNumId w:val="5"/>
  </w:num>
  <w:num w:numId="2" w16cid:durableId="2015761342">
    <w:abstractNumId w:val="24"/>
  </w:num>
  <w:num w:numId="3" w16cid:durableId="1105688138">
    <w:abstractNumId w:val="20"/>
  </w:num>
  <w:num w:numId="4" w16cid:durableId="452944798">
    <w:abstractNumId w:val="25"/>
  </w:num>
  <w:num w:numId="5" w16cid:durableId="1230077599">
    <w:abstractNumId w:val="6"/>
  </w:num>
  <w:num w:numId="6" w16cid:durableId="230845660">
    <w:abstractNumId w:val="1"/>
  </w:num>
  <w:num w:numId="7" w16cid:durableId="1906140925">
    <w:abstractNumId w:val="2"/>
  </w:num>
  <w:num w:numId="8" w16cid:durableId="1057063">
    <w:abstractNumId w:val="0"/>
  </w:num>
  <w:num w:numId="9" w16cid:durableId="1780559669">
    <w:abstractNumId w:val="3"/>
  </w:num>
  <w:num w:numId="10" w16cid:durableId="566232805">
    <w:abstractNumId w:val="10"/>
  </w:num>
  <w:num w:numId="11" w16cid:durableId="419911267">
    <w:abstractNumId w:val="12"/>
  </w:num>
  <w:num w:numId="12" w16cid:durableId="1638795714">
    <w:abstractNumId w:val="7"/>
  </w:num>
  <w:num w:numId="13" w16cid:durableId="1279727322">
    <w:abstractNumId w:val="9"/>
  </w:num>
  <w:num w:numId="14" w16cid:durableId="1494104013">
    <w:abstractNumId w:val="2"/>
    <w:lvlOverride w:ilvl="0">
      <w:startOverride w:val="1"/>
    </w:lvlOverride>
  </w:num>
  <w:num w:numId="15" w16cid:durableId="1276711933">
    <w:abstractNumId w:val="2"/>
    <w:lvlOverride w:ilvl="0">
      <w:startOverride w:val="1"/>
    </w:lvlOverride>
  </w:num>
  <w:num w:numId="16" w16cid:durableId="943460754">
    <w:abstractNumId w:val="2"/>
    <w:lvlOverride w:ilvl="0">
      <w:startOverride w:val="1"/>
    </w:lvlOverride>
  </w:num>
  <w:num w:numId="17" w16cid:durableId="2036997842">
    <w:abstractNumId w:val="2"/>
  </w:num>
  <w:num w:numId="18" w16cid:durableId="722025439">
    <w:abstractNumId w:val="21"/>
  </w:num>
  <w:num w:numId="19" w16cid:durableId="1807964487">
    <w:abstractNumId w:val="2"/>
    <w:lvlOverride w:ilvl="0">
      <w:startOverride w:val="1"/>
    </w:lvlOverride>
  </w:num>
  <w:num w:numId="20" w16cid:durableId="195628109">
    <w:abstractNumId w:val="2"/>
    <w:lvlOverride w:ilvl="0">
      <w:startOverride w:val="1"/>
    </w:lvlOverride>
  </w:num>
  <w:num w:numId="21" w16cid:durableId="2104691472">
    <w:abstractNumId w:val="27"/>
  </w:num>
  <w:num w:numId="22" w16cid:durableId="21831572">
    <w:abstractNumId w:val="18"/>
    <w:lvlOverride w:ilvl="0">
      <w:startOverride w:val="1"/>
    </w:lvlOverride>
  </w:num>
  <w:num w:numId="23" w16cid:durableId="1808664324">
    <w:abstractNumId w:val="16"/>
  </w:num>
  <w:num w:numId="24" w16cid:durableId="304697842">
    <w:abstractNumId w:val="4"/>
  </w:num>
  <w:num w:numId="25" w16cid:durableId="1810201252">
    <w:abstractNumId w:val="17"/>
  </w:num>
  <w:num w:numId="26" w16cid:durableId="1617181125">
    <w:abstractNumId w:val="8"/>
  </w:num>
  <w:num w:numId="27" w16cid:durableId="1155877368">
    <w:abstractNumId w:val="14"/>
  </w:num>
  <w:num w:numId="28" w16cid:durableId="1908345280">
    <w:abstractNumId w:val="19"/>
  </w:num>
  <w:num w:numId="29" w16cid:durableId="1967005866">
    <w:abstractNumId w:val="13"/>
  </w:num>
  <w:num w:numId="30" w16cid:durableId="413744076">
    <w:abstractNumId w:val="2"/>
    <w:lvlOverride w:ilvl="0">
      <w:startOverride w:val="1"/>
    </w:lvlOverride>
  </w:num>
  <w:num w:numId="31" w16cid:durableId="1474830632">
    <w:abstractNumId w:val="11"/>
  </w:num>
  <w:num w:numId="32" w16cid:durableId="1970429623">
    <w:abstractNumId w:val="26"/>
  </w:num>
  <w:num w:numId="33" w16cid:durableId="2145853744">
    <w:abstractNumId w:val="22"/>
  </w:num>
  <w:num w:numId="34" w16cid:durableId="964778973">
    <w:abstractNumId w:val="2"/>
    <w:lvlOverride w:ilvl="0">
      <w:startOverride w:val="1"/>
    </w:lvlOverride>
  </w:num>
  <w:num w:numId="35" w16cid:durableId="1099567541">
    <w:abstractNumId w:val="15"/>
  </w:num>
  <w:num w:numId="36" w16cid:durableId="472258793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7B"/>
    <w:rsid w:val="0000028F"/>
    <w:rsid w:val="00010215"/>
    <w:rsid w:val="0001083A"/>
    <w:rsid w:val="00010844"/>
    <w:rsid w:val="00010CDF"/>
    <w:rsid w:val="0001191B"/>
    <w:rsid w:val="00014258"/>
    <w:rsid w:val="0001542C"/>
    <w:rsid w:val="000177E1"/>
    <w:rsid w:val="00017C84"/>
    <w:rsid w:val="0002462A"/>
    <w:rsid w:val="000310E0"/>
    <w:rsid w:val="000312A4"/>
    <w:rsid w:val="000335C3"/>
    <w:rsid w:val="0004091A"/>
    <w:rsid w:val="00042249"/>
    <w:rsid w:val="00043CB5"/>
    <w:rsid w:val="00044156"/>
    <w:rsid w:val="000502C7"/>
    <w:rsid w:val="000536AC"/>
    <w:rsid w:val="00055A5D"/>
    <w:rsid w:val="00057890"/>
    <w:rsid w:val="00057E8B"/>
    <w:rsid w:val="00060423"/>
    <w:rsid w:val="00061245"/>
    <w:rsid w:val="000612A4"/>
    <w:rsid w:val="000613CF"/>
    <w:rsid w:val="00061470"/>
    <w:rsid w:val="00062B47"/>
    <w:rsid w:val="000643D0"/>
    <w:rsid w:val="00066A96"/>
    <w:rsid w:val="00066CCE"/>
    <w:rsid w:val="00072BCB"/>
    <w:rsid w:val="00073626"/>
    <w:rsid w:val="00075040"/>
    <w:rsid w:val="0007525D"/>
    <w:rsid w:val="00077377"/>
    <w:rsid w:val="00080BF7"/>
    <w:rsid w:val="00080D62"/>
    <w:rsid w:val="000821D5"/>
    <w:rsid w:val="00082E32"/>
    <w:rsid w:val="00083DCA"/>
    <w:rsid w:val="000851A7"/>
    <w:rsid w:val="00086564"/>
    <w:rsid w:val="0008717D"/>
    <w:rsid w:val="0009018C"/>
    <w:rsid w:val="00091D8D"/>
    <w:rsid w:val="000933A0"/>
    <w:rsid w:val="00093974"/>
    <w:rsid w:val="00093CBC"/>
    <w:rsid w:val="00095E1C"/>
    <w:rsid w:val="000A04B9"/>
    <w:rsid w:val="000A3BD7"/>
    <w:rsid w:val="000A4635"/>
    <w:rsid w:val="000A67D0"/>
    <w:rsid w:val="000A6EB4"/>
    <w:rsid w:val="000A716C"/>
    <w:rsid w:val="000A764D"/>
    <w:rsid w:val="000B081E"/>
    <w:rsid w:val="000B0C27"/>
    <w:rsid w:val="000B2179"/>
    <w:rsid w:val="000B3616"/>
    <w:rsid w:val="000B5B05"/>
    <w:rsid w:val="000B5B50"/>
    <w:rsid w:val="000B60CB"/>
    <w:rsid w:val="000B75CC"/>
    <w:rsid w:val="000B7B8B"/>
    <w:rsid w:val="000B7F49"/>
    <w:rsid w:val="000C3608"/>
    <w:rsid w:val="000C453C"/>
    <w:rsid w:val="000C47E9"/>
    <w:rsid w:val="000C730A"/>
    <w:rsid w:val="000C7CB9"/>
    <w:rsid w:val="000C7DFB"/>
    <w:rsid w:val="000D0020"/>
    <w:rsid w:val="000D156A"/>
    <w:rsid w:val="000D7D88"/>
    <w:rsid w:val="000E2B2F"/>
    <w:rsid w:val="000E41F4"/>
    <w:rsid w:val="000E4A9C"/>
    <w:rsid w:val="000E6D18"/>
    <w:rsid w:val="000E75AF"/>
    <w:rsid w:val="000F448F"/>
    <w:rsid w:val="000F73E3"/>
    <w:rsid w:val="00100FF3"/>
    <w:rsid w:val="001021B8"/>
    <w:rsid w:val="00103660"/>
    <w:rsid w:val="00103693"/>
    <w:rsid w:val="001058F4"/>
    <w:rsid w:val="00110355"/>
    <w:rsid w:val="001109E7"/>
    <w:rsid w:val="0011167A"/>
    <w:rsid w:val="001116E4"/>
    <w:rsid w:val="00113772"/>
    <w:rsid w:val="00114643"/>
    <w:rsid w:val="00120707"/>
    <w:rsid w:val="00121473"/>
    <w:rsid w:val="00121A22"/>
    <w:rsid w:val="001239DE"/>
    <w:rsid w:val="00123C8A"/>
    <w:rsid w:val="00132A9A"/>
    <w:rsid w:val="00134A73"/>
    <w:rsid w:val="0014279B"/>
    <w:rsid w:val="00142B07"/>
    <w:rsid w:val="00143985"/>
    <w:rsid w:val="00152B1E"/>
    <w:rsid w:val="001556FE"/>
    <w:rsid w:val="001579B1"/>
    <w:rsid w:val="0016039C"/>
    <w:rsid w:val="00164F48"/>
    <w:rsid w:val="00167FFB"/>
    <w:rsid w:val="001723B7"/>
    <w:rsid w:val="001742A6"/>
    <w:rsid w:val="0018151D"/>
    <w:rsid w:val="00181A82"/>
    <w:rsid w:val="00182044"/>
    <w:rsid w:val="001822FF"/>
    <w:rsid w:val="00182B18"/>
    <w:rsid w:val="00183FFB"/>
    <w:rsid w:val="00184796"/>
    <w:rsid w:val="00185ACA"/>
    <w:rsid w:val="00186B7F"/>
    <w:rsid w:val="00190B46"/>
    <w:rsid w:val="00191307"/>
    <w:rsid w:val="0019251A"/>
    <w:rsid w:val="00196AB9"/>
    <w:rsid w:val="001A0092"/>
    <w:rsid w:val="001A0FCE"/>
    <w:rsid w:val="001A4643"/>
    <w:rsid w:val="001A5542"/>
    <w:rsid w:val="001B2642"/>
    <w:rsid w:val="001B2F6C"/>
    <w:rsid w:val="001B3EB2"/>
    <w:rsid w:val="001C094B"/>
    <w:rsid w:val="001C2D3C"/>
    <w:rsid w:val="001C38DC"/>
    <w:rsid w:val="001C3D5F"/>
    <w:rsid w:val="001C4A35"/>
    <w:rsid w:val="001C680A"/>
    <w:rsid w:val="001C6C3F"/>
    <w:rsid w:val="001C7A66"/>
    <w:rsid w:val="001C7DDC"/>
    <w:rsid w:val="001E146C"/>
    <w:rsid w:val="001E6157"/>
    <w:rsid w:val="001E6EA5"/>
    <w:rsid w:val="001E70D0"/>
    <w:rsid w:val="001F007B"/>
    <w:rsid w:val="001F098F"/>
    <w:rsid w:val="001F107A"/>
    <w:rsid w:val="001F31C1"/>
    <w:rsid w:val="001F54A1"/>
    <w:rsid w:val="001F60E8"/>
    <w:rsid w:val="001F7F64"/>
    <w:rsid w:val="00200B62"/>
    <w:rsid w:val="00203F37"/>
    <w:rsid w:val="002041D5"/>
    <w:rsid w:val="00205705"/>
    <w:rsid w:val="002057F0"/>
    <w:rsid w:val="00205977"/>
    <w:rsid w:val="00205C47"/>
    <w:rsid w:val="00206363"/>
    <w:rsid w:val="0021007D"/>
    <w:rsid w:val="00211EFC"/>
    <w:rsid w:val="002122AC"/>
    <w:rsid w:val="00212F96"/>
    <w:rsid w:val="00213714"/>
    <w:rsid w:val="002141BF"/>
    <w:rsid w:val="002150C5"/>
    <w:rsid w:val="0021591F"/>
    <w:rsid w:val="00215AE9"/>
    <w:rsid w:val="00216A60"/>
    <w:rsid w:val="0022163C"/>
    <w:rsid w:val="00222832"/>
    <w:rsid w:val="00222FFB"/>
    <w:rsid w:val="00231448"/>
    <w:rsid w:val="00231B5E"/>
    <w:rsid w:val="00236784"/>
    <w:rsid w:val="00241402"/>
    <w:rsid w:val="00251100"/>
    <w:rsid w:val="00251795"/>
    <w:rsid w:val="00251E4F"/>
    <w:rsid w:val="00261C30"/>
    <w:rsid w:val="00265A81"/>
    <w:rsid w:val="00270FD3"/>
    <w:rsid w:val="00271541"/>
    <w:rsid w:val="00271F9B"/>
    <w:rsid w:val="002720A4"/>
    <w:rsid w:val="0027567F"/>
    <w:rsid w:val="00275D28"/>
    <w:rsid w:val="00276C3C"/>
    <w:rsid w:val="00276CA4"/>
    <w:rsid w:val="00280402"/>
    <w:rsid w:val="002804D0"/>
    <w:rsid w:val="00281EE6"/>
    <w:rsid w:val="002863C4"/>
    <w:rsid w:val="00290016"/>
    <w:rsid w:val="00291298"/>
    <w:rsid w:val="00291BAE"/>
    <w:rsid w:val="00292093"/>
    <w:rsid w:val="002928B3"/>
    <w:rsid w:val="00292C87"/>
    <w:rsid w:val="00293C45"/>
    <w:rsid w:val="00295C89"/>
    <w:rsid w:val="0029605E"/>
    <w:rsid w:val="00296A9B"/>
    <w:rsid w:val="00297F33"/>
    <w:rsid w:val="002A010F"/>
    <w:rsid w:val="002A0D1E"/>
    <w:rsid w:val="002A1DA1"/>
    <w:rsid w:val="002A2121"/>
    <w:rsid w:val="002A37A3"/>
    <w:rsid w:val="002A3D03"/>
    <w:rsid w:val="002A4F8B"/>
    <w:rsid w:val="002A6B00"/>
    <w:rsid w:val="002A79E2"/>
    <w:rsid w:val="002B038D"/>
    <w:rsid w:val="002B65A8"/>
    <w:rsid w:val="002C2D8E"/>
    <w:rsid w:val="002C3AA9"/>
    <w:rsid w:val="002C4470"/>
    <w:rsid w:val="002D072D"/>
    <w:rsid w:val="002D3B5A"/>
    <w:rsid w:val="002D45B3"/>
    <w:rsid w:val="002D50FF"/>
    <w:rsid w:val="002D6CCD"/>
    <w:rsid w:val="002E0D72"/>
    <w:rsid w:val="002E1F34"/>
    <w:rsid w:val="002E26B2"/>
    <w:rsid w:val="002E3B96"/>
    <w:rsid w:val="002E4611"/>
    <w:rsid w:val="002E6039"/>
    <w:rsid w:val="002E6F4A"/>
    <w:rsid w:val="002E7381"/>
    <w:rsid w:val="002F19B6"/>
    <w:rsid w:val="002F1F93"/>
    <w:rsid w:val="00301C36"/>
    <w:rsid w:val="00303499"/>
    <w:rsid w:val="00304AF3"/>
    <w:rsid w:val="00305DD6"/>
    <w:rsid w:val="003070FB"/>
    <w:rsid w:val="00307DA9"/>
    <w:rsid w:val="00312829"/>
    <w:rsid w:val="00317CC1"/>
    <w:rsid w:val="003201A5"/>
    <w:rsid w:val="0032022E"/>
    <w:rsid w:val="00320B66"/>
    <w:rsid w:val="00330463"/>
    <w:rsid w:val="0033067F"/>
    <w:rsid w:val="00330A1F"/>
    <w:rsid w:val="00330B31"/>
    <w:rsid w:val="00332FDE"/>
    <w:rsid w:val="003349BB"/>
    <w:rsid w:val="00336E7C"/>
    <w:rsid w:val="00337F87"/>
    <w:rsid w:val="00341E03"/>
    <w:rsid w:val="003426D5"/>
    <w:rsid w:val="00343382"/>
    <w:rsid w:val="00343699"/>
    <w:rsid w:val="00346B4B"/>
    <w:rsid w:val="00346EC5"/>
    <w:rsid w:val="00350B18"/>
    <w:rsid w:val="00353DCB"/>
    <w:rsid w:val="00356082"/>
    <w:rsid w:val="00360ED4"/>
    <w:rsid w:val="0036194E"/>
    <w:rsid w:val="00361FC0"/>
    <w:rsid w:val="00362323"/>
    <w:rsid w:val="00362C8D"/>
    <w:rsid w:val="00367427"/>
    <w:rsid w:val="003706FB"/>
    <w:rsid w:val="00370D92"/>
    <w:rsid w:val="00372F10"/>
    <w:rsid w:val="00373745"/>
    <w:rsid w:val="003738C3"/>
    <w:rsid w:val="003747B1"/>
    <w:rsid w:val="00381803"/>
    <w:rsid w:val="00384A17"/>
    <w:rsid w:val="00385B94"/>
    <w:rsid w:val="00386251"/>
    <w:rsid w:val="00386BF6"/>
    <w:rsid w:val="00391445"/>
    <w:rsid w:val="0039276C"/>
    <w:rsid w:val="00393826"/>
    <w:rsid w:val="00396189"/>
    <w:rsid w:val="003A0074"/>
    <w:rsid w:val="003A0B1B"/>
    <w:rsid w:val="003A2659"/>
    <w:rsid w:val="003A3DB6"/>
    <w:rsid w:val="003A3ED5"/>
    <w:rsid w:val="003A6C08"/>
    <w:rsid w:val="003B0AA7"/>
    <w:rsid w:val="003B1E0D"/>
    <w:rsid w:val="003B2019"/>
    <w:rsid w:val="003B723A"/>
    <w:rsid w:val="003B79EE"/>
    <w:rsid w:val="003C1B21"/>
    <w:rsid w:val="003C25D7"/>
    <w:rsid w:val="003C38A9"/>
    <w:rsid w:val="003C48CA"/>
    <w:rsid w:val="003D3E51"/>
    <w:rsid w:val="003D52E2"/>
    <w:rsid w:val="003D6239"/>
    <w:rsid w:val="003D6E4A"/>
    <w:rsid w:val="003D7455"/>
    <w:rsid w:val="003E0D0C"/>
    <w:rsid w:val="003E1B20"/>
    <w:rsid w:val="003E2126"/>
    <w:rsid w:val="003E3388"/>
    <w:rsid w:val="003E3F11"/>
    <w:rsid w:val="003E4F9D"/>
    <w:rsid w:val="003E61FC"/>
    <w:rsid w:val="003F16C2"/>
    <w:rsid w:val="003F201B"/>
    <w:rsid w:val="003F2C00"/>
    <w:rsid w:val="003F4FD8"/>
    <w:rsid w:val="003F644A"/>
    <w:rsid w:val="003F7453"/>
    <w:rsid w:val="003F7BD4"/>
    <w:rsid w:val="004000B4"/>
    <w:rsid w:val="00403CC6"/>
    <w:rsid w:val="00405F74"/>
    <w:rsid w:val="004136EE"/>
    <w:rsid w:val="00416C03"/>
    <w:rsid w:val="004256F8"/>
    <w:rsid w:val="00427BF7"/>
    <w:rsid w:val="00427C84"/>
    <w:rsid w:val="004326C8"/>
    <w:rsid w:val="00434278"/>
    <w:rsid w:val="0044667D"/>
    <w:rsid w:val="0044712E"/>
    <w:rsid w:val="00447EAE"/>
    <w:rsid w:val="00451012"/>
    <w:rsid w:val="00452A27"/>
    <w:rsid w:val="004567B4"/>
    <w:rsid w:val="00457507"/>
    <w:rsid w:val="00463060"/>
    <w:rsid w:val="00463FA3"/>
    <w:rsid w:val="00464C07"/>
    <w:rsid w:val="00465953"/>
    <w:rsid w:val="004659E3"/>
    <w:rsid w:val="004668DA"/>
    <w:rsid w:val="00472A66"/>
    <w:rsid w:val="00472AF4"/>
    <w:rsid w:val="00474E9C"/>
    <w:rsid w:val="00480184"/>
    <w:rsid w:val="00480FFB"/>
    <w:rsid w:val="004811EF"/>
    <w:rsid w:val="00482FD2"/>
    <w:rsid w:val="00483B02"/>
    <w:rsid w:val="00484A3A"/>
    <w:rsid w:val="00487C9C"/>
    <w:rsid w:val="004908A0"/>
    <w:rsid w:val="00490BDA"/>
    <w:rsid w:val="00492FEB"/>
    <w:rsid w:val="00493769"/>
    <w:rsid w:val="00493DB0"/>
    <w:rsid w:val="00495CAE"/>
    <w:rsid w:val="004A1EA2"/>
    <w:rsid w:val="004A1F6F"/>
    <w:rsid w:val="004A228B"/>
    <w:rsid w:val="004A35C0"/>
    <w:rsid w:val="004A4BA6"/>
    <w:rsid w:val="004A56D4"/>
    <w:rsid w:val="004B17E7"/>
    <w:rsid w:val="004B26D9"/>
    <w:rsid w:val="004B2710"/>
    <w:rsid w:val="004B3E31"/>
    <w:rsid w:val="004C3324"/>
    <w:rsid w:val="004C38CC"/>
    <w:rsid w:val="004C75D7"/>
    <w:rsid w:val="004D167D"/>
    <w:rsid w:val="004D1CD5"/>
    <w:rsid w:val="004D2051"/>
    <w:rsid w:val="004D221A"/>
    <w:rsid w:val="004D4E95"/>
    <w:rsid w:val="004E0AF1"/>
    <w:rsid w:val="004E327C"/>
    <w:rsid w:val="004E6F51"/>
    <w:rsid w:val="004E70A3"/>
    <w:rsid w:val="004E782B"/>
    <w:rsid w:val="004F100D"/>
    <w:rsid w:val="004F2063"/>
    <w:rsid w:val="004F2859"/>
    <w:rsid w:val="004F3E74"/>
    <w:rsid w:val="004F5E8C"/>
    <w:rsid w:val="004F6989"/>
    <w:rsid w:val="00500543"/>
    <w:rsid w:val="00501193"/>
    <w:rsid w:val="00501C2C"/>
    <w:rsid w:val="00511733"/>
    <w:rsid w:val="00515F99"/>
    <w:rsid w:val="0051633E"/>
    <w:rsid w:val="00516F22"/>
    <w:rsid w:val="0051743E"/>
    <w:rsid w:val="005208E1"/>
    <w:rsid w:val="00520BCA"/>
    <w:rsid w:val="00520CB5"/>
    <w:rsid w:val="00523A23"/>
    <w:rsid w:val="00525082"/>
    <w:rsid w:val="0052534B"/>
    <w:rsid w:val="0052620A"/>
    <w:rsid w:val="005276C5"/>
    <w:rsid w:val="005301F0"/>
    <w:rsid w:val="00532F67"/>
    <w:rsid w:val="00533E13"/>
    <w:rsid w:val="00535140"/>
    <w:rsid w:val="005376B2"/>
    <w:rsid w:val="00541932"/>
    <w:rsid w:val="005438DE"/>
    <w:rsid w:val="00543B21"/>
    <w:rsid w:val="005454CC"/>
    <w:rsid w:val="00545A21"/>
    <w:rsid w:val="005518F5"/>
    <w:rsid w:val="0055505E"/>
    <w:rsid w:val="005551DB"/>
    <w:rsid w:val="005555BE"/>
    <w:rsid w:val="005572E0"/>
    <w:rsid w:val="00557B7F"/>
    <w:rsid w:val="00561832"/>
    <w:rsid w:val="00564D54"/>
    <w:rsid w:val="00564E9B"/>
    <w:rsid w:val="00566B9B"/>
    <w:rsid w:val="005673E7"/>
    <w:rsid w:val="005708DD"/>
    <w:rsid w:val="005729D4"/>
    <w:rsid w:val="00572DF5"/>
    <w:rsid w:val="00583C32"/>
    <w:rsid w:val="00584BB1"/>
    <w:rsid w:val="00585E83"/>
    <w:rsid w:val="0058628A"/>
    <w:rsid w:val="005864F4"/>
    <w:rsid w:val="00587F11"/>
    <w:rsid w:val="00591BDB"/>
    <w:rsid w:val="005924B4"/>
    <w:rsid w:val="00597B56"/>
    <w:rsid w:val="005A0959"/>
    <w:rsid w:val="005A2FA9"/>
    <w:rsid w:val="005A75B5"/>
    <w:rsid w:val="005B1855"/>
    <w:rsid w:val="005C0131"/>
    <w:rsid w:val="005C0B04"/>
    <w:rsid w:val="005C38D0"/>
    <w:rsid w:val="005C39D8"/>
    <w:rsid w:val="005C48B5"/>
    <w:rsid w:val="005C676B"/>
    <w:rsid w:val="005C7468"/>
    <w:rsid w:val="005D0D8D"/>
    <w:rsid w:val="005D2E91"/>
    <w:rsid w:val="005D3B77"/>
    <w:rsid w:val="005D78F6"/>
    <w:rsid w:val="005E2F81"/>
    <w:rsid w:val="005E34F3"/>
    <w:rsid w:val="005E598A"/>
    <w:rsid w:val="005E74F5"/>
    <w:rsid w:val="005E75CF"/>
    <w:rsid w:val="005F0872"/>
    <w:rsid w:val="005F1B43"/>
    <w:rsid w:val="005F1B4E"/>
    <w:rsid w:val="005F2E7B"/>
    <w:rsid w:val="005F353E"/>
    <w:rsid w:val="005F5205"/>
    <w:rsid w:val="005F5625"/>
    <w:rsid w:val="005F6E14"/>
    <w:rsid w:val="00600901"/>
    <w:rsid w:val="006141B1"/>
    <w:rsid w:val="00614661"/>
    <w:rsid w:val="00614EB9"/>
    <w:rsid w:val="0061639E"/>
    <w:rsid w:val="0062201F"/>
    <w:rsid w:val="00622486"/>
    <w:rsid w:val="006259EF"/>
    <w:rsid w:val="00632F03"/>
    <w:rsid w:val="00634FF2"/>
    <w:rsid w:val="0063638A"/>
    <w:rsid w:val="00641254"/>
    <w:rsid w:val="0064152F"/>
    <w:rsid w:val="00641783"/>
    <w:rsid w:val="00642135"/>
    <w:rsid w:val="00643225"/>
    <w:rsid w:val="00644274"/>
    <w:rsid w:val="006501FD"/>
    <w:rsid w:val="00655B75"/>
    <w:rsid w:val="0065610A"/>
    <w:rsid w:val="0066034F"/>
    <w:rsid w:val="006608EA"/>
    <w:rsid w:val="00661EE8"/>
    <w:rsid w:val="00663673"/>
    <w:rsid w:val="00663B31"/>
    <w:rsid w:val="006654E7"/>
    <w:rsid w:val="00667622"/>
    <w:rsid w:val="00670299"/>
    <w:rsid w:val="00672F66"/>
    <w:rsid w:val="00675A7C"/>
    <w:rsid w:val="00675ECE"/>
    <w:rsid w:val="006810B7"/>
    <w:rsid w:val="00681614"/>
    <w:rsid w:val="006830E0"/>
    <w:rsid w:val="00683F47"/>
    <w:rsid w:val="006844C0"/>
    <w:rsid w:val="0068565A"/>
    <w:rsid w:val="006861AB"/>
    <w:rsid w:val="00693E08"/>
    <w:rsid w:val="006943DD"/>
    <w:rsid w:val="006943DE"/>
    <w:rsid w:val="00695288"/>
    <w:rsid w:val="006A22E7"/>
    <w:rsid w:val="006A7940"/>
    <w:rsid w:val="006B0272"/>
    <w:rsid w:val="006B05B4"/>
    <w:rsid w:val="006B0FB2"/>
    <w:rsid w:val="006B485D"/>
    <w:rsid w:val="006B486F"/>
    <w:rsid w:val="006B4AEB"/>
    <w:rsid w:val="006B4CC0"/>
    <w:rsid w:val="006B7926"/>
    <w:rsid w:val="006B7A7D"/>
    <w:rsid w:val="006C0BA9"/>
    <w:rsid w:val="006C2053"/>
    <w:rsid w:val="006C3001"/>
    <w:rsid w:val="006C3550"/>
    <w:rsid w:val="006C490F"/>
    <w:rsid w:val="006C743C"/>
    <w:rsid w:val="006C7B0E"/>
    <w:rsid w:val="006D644A"/>
    <w:rsid w:val="006E2CA8"/>
    <w:rsid w:val="006E3307"/>
    <w:rsid w:val="006E52CB"/>
    <w:rsid w:val="006E5D51"/>
    <w:rsid w:val="006E5F03"/>
    <w:rsid w:val="006E799F"/>
    <w:rsid w:val="006E7F44"/>
    <w:rsid w:val="006F0D32"/>
    <w:rsid w:val="006F3744"/>
    <w:rsid w:val="006F388B"/>
    <w:rsid w:val="006F3BB0"/>
    <w:rsid w:val="006F4ECB"/>
    <w:rsid w:val="0070080E"/>
    <w:rsid w:val="00700EC9"/>
    <w:rsid w:val="007071D8"/>
    <w:rsid w:val="00707B67"/>
    <w:rsid w:val="007133E1"/>
    <w:rsid w:val="007146DC"/>
    <w:rsid w:val="00714974"/>
    <w:rsid w:val="007152FC"/>
    <w:rsid w:val="00715312"/>
    <w:rsid w:val="00716718"/>
    <w:rsid w:val="00717B61"/>
    <w:rsid w:val="00720AFE"/>
    <w:rsid w:val="00722868"/>
    <w:rsid w:val="00722C05"/>
    <w:rsid w:val="007231CD"/>
    <w:rsid w:val="00724145"/>
    <w:rsid w:val="00725D6D"/>
    <w:rsid w:val="00726794"/>
    <w:rsid w:val="00727EDC"/>
    <w:rsid w:val="00731A8E"/>
    <w:rsid w:val="00734469"/>
    <w:rsid w:val="0073582C"/>
    <w:rsid w:val="00735EFB"/>
    <w:rsid w:val="007368E9"/>
    <w:rsid w:val="007401F7"/>
    <w:rsid w:val="00740D56"/>
    <w:rsid w:val="00742A64"/>
    <w:rsid w:val="007430FF"/>
    <w:rsid w:val="007445E6"/>
    <w:rsid w:val="00745C94"/>
    <w:rsid w:val="00747646"/>
    <w:rsid w:val="00747F8B"/>
    <w:rsid w:val="007509F1"/>
    <w:rsid w:val="00751550"/>
    <w:rsid w:val="007556F0"/>
    <w:rsid w:val="00756552"/>
    <w:rsid w:val="0075682F"/>
    <w:rsid w:val="00761C50"/>
    <w:rsid w:val="00762AEE"/>
    <w:rsid w:val="007640BB"/>
    <w:rsid w:val="0076432E"/>
    <w:rsid w:val="0076514E"/>
    <w:rsid w:val="00766186"/>
    <w:rsid w:val="00766B50"/>
    <w:rsid w:val="00774AF1"/>
    <w:rsid w:val="007771D4"/>
    <w:rsid w:val="0078289A"/>
    <w:rsid w:val="00783259"/>
    <w:rsid w:val="0078577A"/>
    <w:rsid w:val="00785A93"/>
    <w:rsid w:val="00787482"/>
    <w:rsid w:val="00787536"/>
    <w:rsid w:val="00792099"/>
    <w:rsid w:val="007927A1"/>
    <w:rsid w:val="007946EA"/>
    <w:rsid w:val="0079638C"/>
    <w:rsid w:val="00796E6C"/>
    <w:rsid w:val="007A2725"/>
    <w:rsid w:val="007A411D"/>
    <w:rsid w:val="007A6FB1"/>
    <w:rsid w:val="007B0AC0"/>
    <w:rsid w:val="007B28F4"/>
    <w:rsid w:val="007B2BAB"/>
    <w:rsid w:val="007B51D1"/>
    <w:rsid w:val="007B5E4E"/>
    <w:rsid w:val="007B66BB"/>
    <w:rsid w:val="007C025C"/>
    <w:rsid w:val="007C027C"/>
    <w:rsid w:val="007C1004"/>
    <w:rsid w:val="007C2BD8"/>
    <w:rsid w:val="007C3533"/>
    <w:rsid w:val="007C3BBD"/>
    <w:rsid w:val="007C59D5"/>
    <w:rsid w:val="007C7392"/>
    <w:rsid w:val="007C7E1E"/>
    <w:rsid w:val="007D0E27"/>
    <w:rsid w:val="007D1129"/>
    <w:rsid w:val="007D1619"/>
    <w:rsid w:val="007D2392"/>
    <w:rsid w:val="007D3462"/>
    <w:rsid w:val="007D4EAB"/>
    <w:rsid w:val="007D7257"/>
    <w:rsid w:val="007D7F1B"/>
    <w:rsid w:val="007E2F68"/>
    <w:rsid w:val="007E4587"/>
    <w:rsid w:val="007E6EA0"/>
    <w:rsid w:val="007E7186"/>
    <w:rsid w:val="007F0057"/>
    <w:rsid w:val="007F0F74"/>
    <w:rsid w:val="007F13AB"/>
    <w:rsid w:val="007F19AB"/>
    <w:rsid w:val="007F3E3B"/>
    <w:rsid w:val="007F4A99"/>
    <w:rsid w:val="007F4B91"/>
    <w:rsid w:val="007F6CB8"/>
    <w:rsid w:val="007F7ECD"/>
    <w:rsid w:val="007F7F59"/>
    <w:rsid w:val="00801D8E"/>
    <w:rsid w:val="00810BCE"/>
    <w:rsid w:val="0081155F"/>
    <w:rsid w:val="0081211C"/>
    <w:rsid w:val="008146D5"/>
    <w:rsid w:val="00815EE7"/>
    <w:rsid w:val="00816A57"/>
    <w:rsid w:val="00823F28"/>
    <w:rsid w:val="00824641"/>
    <w:rsid w:val="00826579"/>
    <w:rsid w:val="00826592"/>
    <w:rsid w:val="00831B3D"/>
    <w:rsid w:val="008343B4"/>
    <w:rsid w:val="008349E3"/>
    <w:rsid w:val="00834CE2"/>
    <w:rsid w:val="008402E6"/>
    <w:rsid w:val="008459C8"/>
    <w:rsid w:val="0084782A"/>
    <w:rsid w:val="00847A08"/>
    <w:rsid w:val="00847FAC"/>
    <w:rsid w:val="008520AE"/>
    <w:rsid w:val="00854225"/>
    <w:rsid w:val="00855C51"/>
    <w:rsid w:val="00860BED"/>
    <w:rsid w:val="008621A7"/>
    <w:rsid w:val="008652D1"/>
    <w:rsid w:val="008657F9"/>
    <w:rsid w:val="00871672"/>
    <w:rsid w:val="00874475"/>
    <w:rsid w:val="00875407"/>
    <w:rsid w:val="00875613"/>
    <w:rsid w:val="008756C1"/>
    <w:rsid w:val="0087637E"/>
    <w:rsid w:val="00881825"/>
    <w:rsid w:val="00883189"/>
    <w:rsid w:val="008856B2"/>
    <w:rsid w:val="00885E84"/>
    <w:rsid w:val="00887742"/>
    <w:rsid w:val="008879D2"/>
    <w:rsid w:val="00887D5D"/>
    <w:rsid w:val="00891BCD"/>
    <w:rsid w:val="00893910"/>
    <w:rsid w:val="00897E0C"/>
    <w:rsid w:val="008A0A72"/>
    <w:rsid w:val="008A4BE7"/>
    <w:rsid w:val="008A69BB"/>
    <w:rsid w:val="008A7AFD"/>
    <w:rsid w:val="008B2D65"/>
    <w:rsid w:val="008B380D"/>
    <w:rsid w:val="008C1DA3"/>
    <w:rsid w:val="008C28D6"/>
    <w:rsid w:val="008C4753"/>
    <w:rsid w:val="008C4F6D"/>
    <w:rsid w:val="008C75C2"/>
    <w:rsid w:val="008D3E49"/>
    <w:rsid w:val="008D7A71"/>
    <w:rsid w:val="008E200E"/>
    <w:rsid w:val="008E24B4"/>
    <w:rsid w:val="008E3EA1"/>
    <w:rsid w:val="008E504E"/>
    <w:rsid w:val="008E51F1"/>
    <w:rsid w:val="008F1972"/>
    <w:rsid w:val="008F1B54"/>
    <w:rsid w:val="008F1E5B"/>
    <w:rsid w:val="008F390D"/>
    <w:rsid w:val="008F3F4C"/>
    <w:rsid w:val="008F6045"/>
    <w:rsid w:val="00900E59"/>
    <w:rsid w:val="00900E5B"/>
    <w:rsid w:val="00902BCA"/>
    <w:rsid w:val="00902F34"/>
    <w:rsid w:val="00903EEA"/>
    <w:rsid w:val="0091059C"/>
    <w:rsid w:val="00910AE6"/>
    <w:rsid w:val="00911530"/>
    <w:rsid w:val="00911E7C"/>
    <w:rsid w:val="00912E54"/>
    <w:rsid w:val="009151A8"/>
    <w:rsid w:val="0092164B"/>
    <w:rsid w:val="009229C2"/>
    <w:rsid w:val="009232C6"/>
    <w:rsid w:val="00924CA4"/>
    <w:rsid w:val="00925151"/>
    <w:rsid w:val="00933C26"/>
    <w:rsid w:val="00934526"/>
    <w:rsid w:val="00934684"/>
    <w:rsid w:val="009354EE"/>
    <w:rsid w:val="00935D83"/>
    <w:rsid w:val="00937988"/>
    <w:rsid w:val="0094004B"/>
    <w:rsid w:val="00944DCA"/>
    <w:rsid w:val="00944FA8"/>
    <w:rsid w:val="0095148E"/>
    <w:rsid w:val="00953083"/>
    <w:rsid w:val="00956339"/>
    <w:rsid w:val="00956F02"/>
    <w:rsid w:val="009578A4"/>
    <w:rsid w:val="009663FE"/>
    <w:rsid w:val="0097531D"/>
    <w:rsid w:val="009756A6"/>
    <w:rsid w:val="00977640"/>
    <w:rsid w:val="009807F7"/>
    <w:rsid w:val="00981E83"/>
    <w:rsid w:val="009849F7"/>
    <w:rsid w:val="009852CA"/>
    <w:rsid w:val="00986D50"/>
    <w:rsid w:val="00987128"/>
    <w:rsid w:val="0098770F"/>
    <w:rsid w:val="0099176B"/>
    <w:rsid w:val="00994E6F"/>
    <w:rsid w:val="00996E71"/>
    <w:rsid w:val="009973E3"/>
    <w:rsid w:val="009978A4"/>
    <w:rsid w:val="009A2A77"/>
    <w:rsid w:val="009A3C0B"/>
    <w:rsid w:val="009A42C7"/>
    <w:rsid w:val="009B303A"/>
    <w:rsid w:val="009B3B75"/>
    <w:rsid w:val="009B4172"/>
    <w:rsid w:val="009B648A"/>
    <w:rsid w:val="009C2C69"/>
    <w:rsid w:val="009C498B"/>
    <w:rsid w:val="009C5F45"/>
    <w:rsid w:val="009C72D3"/>
    <w:rsid w:val="009D08AB"/>
    <w:rsid w:val="009D1685"/>
    <w:rsid w:val="009D1F3F"/>
    <w:rsid w:val="009D2655"/>
    <w:rsid w:val="009D4065"/>
    <w:rsid w:val="009D4537"/>
    <w:rsid w:val="009D5227"/>
    <w:rsid w:val="009E19B6"/>
    <w:rsid w:val="009E397D"/>
    <w:rsid w:val="009F001B"/>
    <w:rsid w:val="009F245F"/>
    <w:rsid w:val="009F38C5"/>
    <w:rsid w:val="009F3EBA"/>
    <w:rsid w:val="009F457B"/>
    <w:rsid w:val="009F6F3F"/>
    <w:rsid w:val="00A0018E"/>
    <w:rsid w:val="00A00F11"/>
    <w:rsid w:val="00A0137A"/>
    <w:rsid w:val="00A0272A"/>
    <w:rsid w:val="00A0331C"/>
    <w:rsid w:val="00A11290"/>
    <w:rsid w:val="00A15792"/>
    <w:rsid w:val="00A2002E"/>
    <w:rsid w:val="00A263C2"/>
    <w:rsid w:val="00A26C2E"/>
    <w:rsid w:val="00A3071D"/>
    <w:rsid w:val="00A30AEA"/>
    <w:rsid w:val="00A31CAD"/>
    <w:rsid w:val="00A320F1"/>
    <w:rsid w:val="00A32B56"/>
    <w:rsid w:val="00A34E8B"/>
    <w:rsid w:val="00A373C5"/>
    <w:rsid w:val="00A43B0E"/>
    <w:rsid w:val="00A448F5"/>
    <w:rsid w:val="00A467A4"/>
    <w:rsid w:val="00A509E3"/>
    <w:rsid w:val="00A50B80"/>
    <w:rsid w:val="00A50DDF"/>
    <w:rsid w:val="00A57B2C"/>
    <w:rsid w:val="00A6005F"/>
    <w:rsid w:val="00A61A92"/>
    <w:rsid w:val="00A6202B"/>
    <w:rsid w:val="00A64646"/>
    <w:rsid w:val="00A66F1C"/>
    <w:rsid w:val="00A67142"/>
    <w:rsid w:val="00A7171C"/>
    <w:rsid w:val="00A72CCF"/>
    <w:rsid w:val="00A80037"/>
    <w:rsid w:val="00A802AB"/>
    <w:rsid w:val="00A80820"/>
    <w:rsid w:val="00A80EE6"/>
    <w:rsid w:val="00A81F9B"/>
    <w:rsid w:val="00A81FF4"/>
    <w:rsid w:val="00A83256"/>
    <w:rsid w:val="00A83DA5"/>
    <w:rsid w:val="00A84C8C"/>
    <w:rsid w:val="00A84D3E"/>
    <w:rsid w:val="00A85EA3"/>
    <w:rsid w:val="00A8632A"/>
    <w:rsid w:val="00A86C87"/>
    <w:rsid w:val="00A877CD"/>
    <w:rsid w:val="00A94EFB"/>
    <w:rsid w:val="00A95105"/>
    <w:rsid w:val="00A95474"/>
    <w:rsid w:val="00A95CD9"/>
    <w:rsid w:val="00A95F04"/>
    <w:rsid w:val="00A9638F"/>
    <w:rsid w:val="00A96998"/>
    <w:rsid w:val="00A97324"/>
    <w:rsid w:val="00AA0DD0"/>
    <w:rsid w:val="00AA1143"/>
    <w:rsid w:val="00AA2418"/>
    <w:rsid w:val="00AA435B"/>
    <w:rsid w:val="00AB03CD"/>
    <w:rsid w:val="00AB1497"/>
    <w:rsid w:val="00AB2895"/>
    <w:rsid w:val="00AB3241"/>
    <w:rsid w:val="00AC1B3A"/>
    <w:rsid w:val="00AC272B"/>
    <w:rsid w:val="00AC2E4B"/>
    <w:rsid w:val="00AC37CA"/>
    <w:rsid w:val="00AC4C5E"/>
    <w:rsid w:val="00AC58C9"/>
    <w:rsid w:val="00AC58E8"/>
    <w:rsid w:val="00AC663F"/>
    <w:rsid w:val="00AD169E"/>
    <w:rsid w:val="00AD2A37"/>
    <w:rsid w:val="00AD3049"/>
    <w:rsid w:val="00AD32EA"/>
    <w:rsid w:val="00AD3B74"/>
    <w:rsid w:val="00AD3D92"/>
    <w:rsid w:val="00AE02B9"/>
    <w:rsid w:val="00AE088E"/>
    <w:rsid w:val="00AE59EC"/>
    <w:rsid w:val="00AF3477"/>
    <w:rsid w:val="00AF6698"/>
    <w:rsid w:val="00B02857"/>
    <w:rsid w:val="00B033F7"/>
    <w:rsid w:val="00B03498"/>
    <w:rsid w:val="00B05936"/>
    <w:rsid w:val="00B05D45"/>
    <w:rsid w:val="00B075FB"/>
    <w:rsid w:val="00B12AC6"/>
    <w:rsid w:val="00B176AC"/>
    <w:rsid w:val="00B21C94"/>
    <w:rsid w:val="00B220EA"/>
    <w:rsid w:val="00B258A5"/>
    <w:rsid w:val="00B275A5"/>
    <w:rsid w:val="00B30CCD"/>
    <w:rsid w:val="00B42A55"/>
    <w:rsid w:val="00B50FAD"/>
    <w:rsid w:val="00B52E1A"/>
    <w:rsid w:val="00B534CF"/>
    <w:rsid w:val="00B538C0"/>
    <w:rsid w:val="00B54C92"/>
    <w:rsid w:val="00B55947"/>
    <w:rsid w:val="00B607C9"/>
    <w:rsid w:val="00B622E0"/>
    <w:rsid w:val="00B62929"/>
    <w:rsid w:val="00B638D3"/>
    <w:rsid w:val="00B640DA"/>
    <w:rsid w:val="00B642D0"/>
    <w:rsid w:val="00B65032"/>
    <w:rsid w:val="00B656FA"/>
    <w:rsid w:val="00B65FE8"/>
    <w:rsid w:val="00B664F7"/>
    <w:rsid w:val="00B70645"/>
    <w:rsid w:val="00B71D8A"/>
    <w:rsid w:val="00B71FBD"/>
    <w:rsid w:val="00B7483D"/>
    <w:rsid w:val="00B7784F"/>
    <w:rsid w:val="00B77A71"/>
    <w:rsid w:val="00B8000D"/>
    <w:rsid w:val="00B80607"/>
    <w:rsid w:val="00B8205C"/>
    <w:rsid w:val="00B82AAE"/>
    <w:rsid w:val="00B83F30"/>
    <w:rsid w:val="00B87F7D"/>
    <w:rsid w:val="00B90ED3"/>
    <w:rsid w:val="00B96DC0"/>
    <w:rsid w:val="00B97B88"/>
    <w:rsid w:val="00BA1BA7"/>
    <w:rsid w:val="00BA2AA5"/>
    <w:rsid w:val="00BA4522"/>
    <w:rsid w:val="00BB1C8A"/>
    <w:rsid w:val="00BB4830"/>
    <w:rsid w:val="00BB4F85"/>
    <w:rsid w:val="00BB5F49"/>
    <w:rsid w:val="00BB6151"/>
    <w:rsid w:val="00BB6220"/>
    <w:rsid w:val="00BB7712"/>
    <w:rsid w:val="00BD557D"/>
    <w:rsid w:val="00BD7F36"/>
    <w:rsid w:val="00BE119A"/>
    <w:rsid w:val="00BE1AD8"/>
    <w:rsid w:val="00BE2211"/>
    <w:rsid w:val="00BE2C39"/>
    <w:rsid w:val="00BE3F96"/>
    <w:rsid w:val="00BF19EE"/>
    <w:rsid w:val="00BF1E5A"/>
    <w:rsid w:val="00BF20FF"/>
    <w:rsid w:val="00BF3593"/>
    <w:rsid w:val="00BF3D8C"/>
    <w:rsid w:val="00BF41D9"/>
    <w:rsid w:val="00BF43B6"/>
    <w:rsid w:val="00BF62FE"/>
    <w:rsid w:val="00BF6E64"/>
    <w:rsid w:val="00BF7036"/>
    <w:rsid w:val="00BF7F61"/>
    <w:rsid w:val="00BF7FA4"/>
    <w:rsid w:val="00C01414"/>
    <w:rsid w:val="00C015AA"/>
    <w:rsid w:val="00C03823"/>
    <w:rsid w:val="00C0470A"/>
    <w:rsid w:val="00C05F74"/>
    <w:rsid w:val="00C11B7E"/>
    <w:rsid w:val="00C12F76"/>
    <w:rsid w:val="00C14112"/>
    <w:rsid w:val="00C203D5"/>
    <w:rsid w:val="00C24201"/>
    <w:rsid w:val="00C2577A"/>
    <w:rsid w:val="00C269A6"/>
    <w:rsid w:val="00C26ABB"/>
    <w:rsid w:val="00C27355"/>
    <w:rsid w:val="00C27B4C"/>
    <w:rsid w:val="00C3180F"/>
    <w:rsid w:val="00C33ADE"/>
    <w:rsid w:val="00C3421F"/>
    <w:rsid w:val="00C35026"/>
    <w:rsid w:val="00C3580B"/>
    <w:rsid w:val="00C37A36"/>
    <w:rsid w:val="00C41523"/>
    <w:rsid w:val="00C431FC"/>
    <w:rsid w:val="00C43C33"/>
    <w:rsid w:val="00C44620"/>
    <w:rsid w:val="00C44AAC"/>
    <w:rsid w:val="00C525E4"/>
    <w:rsid w:val="00C53B8C"/>
    <w:rsid w:val="00C54995"/>
    <w:rsid w:val="00C56CA6"/>
    <w:rsid w:val="00C61B10"/>
    <w:rsid w:val="00C67B13"/>
    <w:rsid w:val="00C7228E"/>
    <w:rsid w:val="00C72B9E"/>
    <w:rsid w:val="00C73BBC"/>
    <w:rsid w:val="00C74DF3"/>
    <w:rsid w:val="00C758D0"/>
    <w:rsid w:val="00C771ED"/>
    <w:rsid w:val="00C81ACB"/>
    <w:rsid w:val="00C8335F"/>
    <w:rsid w:val="00C83585"/>
    <w:rsid w:val="00C845BA"/>
    <w:rsid w:val="00C8639C"/>
    <w:rsid w:val="00C864A8"/>
    <w:rsid w:val="00C86DDA"/>
    <w:rsid w:val="00C901F7"/>
    <w:rsid w:val="00C90973"/>
    <w:rsid w:val="00C91C38"/>
    <w:rsid w:val="00C91D43"/>
    <w:rsid w:val="00C93A65"/>
    <w:rsid w:val="00C947E9"/>
    <w:rsid w:val="00C96B5F"/>
    <w:rsid w:val="00CA184D"/>
    <w:rsid w:val="00CA2C4B"/>
    <w:rsid w:val="00CA59C5"/>
    <w:rsid w:val="00CA62B0"/>
    <w:rsid w:val="00CA6927"/>
    <w:rsid w:val="00CA78F1"/>
    <w:rsid w:val="00CB1DC9"/>
    <w:rsid w:val="00CB76A9"/>
    <w:rsid w:val="00CC1666"/>
    <w:rsid w:val="00CC40EC"/>
    <w:rsid w:val="00CC618F"/>
    <w:rsid w:val="00CC7FDE"/>
    <w:rsid w:val="00CD03D7"/>
    <w:rsid w:val="00CD1804"/>
    <w:rsid w:val="00CD1F11"/>
    <w:rsid w:val="00CD2E8E"/>
    <w:rsid w:val="00CD57C6"/>
    <w:rsid w:val="00CD6387"/>
    <w:rsid w:val="00CD69D6"/>
    <w:rsid w:val="00CE1A54"/>
    <w:rsid w:val="00CE23DD"/>
    <w:rsid w:val="00CF13B6"/>
    <w:rsid w:val="00CF150B"/>
    <w:rsid w:val="00CF2E8C"/>
    <w:rsid w:val="00CF4E09"/>
    <w:rsid w:val="00CF5120"/>
    <w:rsid w:val="00CF5194"/>
    <w:rsid w:val="00CF7A18"/>
    <w:rsid w:val="00CF7C68"/>
    <w:rsid w:val="00D00929"/>
    <w:rsid w:val="00D011AF"/>
    <w:rsid w:val="00D02718"/>
    <w:rsid w:val="00D03091"/>
    <w:rsid w:val="00D03B76"/>
    <w:rsid w:val="00D060B7"/>
    <w:rsid w:val="00D06533"/>
    <w:rsid w:val="00D068FE"/>
    <w:rsid w:val="00D06CE5"/>
    <w:rsid w:val="00D074F9"/>
    <w:rsid w:val="00D14A34"/>
    <w:rsid w:val="00D168AF"/>
    <w:rsid w:val="00D21F09"/>
    <w:rsid w:val="00D22181"/>
    <w:rsid w:val="00D31119"/>
    <w:rsid w:val="00D351CB"/>
    <w:rsid w:val="00D37D58"/>
    <w:rsid w:val="00D40377"/>
    <w:rsid w:val="00D4133C"/>
    <w:rsid w:val="00D43521"/>
    <w:rsid w:val="00D45506"/>
    <w:rsid w:val="00D46D2A"/>
    <w:rsid w:val="00D50E4A"/>
    <w:rsid w:val="00D60535"/>
    <w:rsid w:val="00D60AB0"/>
    <w:rsid w:val="00D63F5D"/>
    <w:rsid w:val="00D6425F"/>
    <w:rsid w:val="00D656E3"/>
    <w:rsid w:val="00D67C02"/>
    <w:rsid w:val="00D7018D"/>
    <w:rsid w:val="00D71501"/>
    <w:rsid w:val="00D73EB6"/>
    <w:rsid w:val="00D740C0"/>
    <w:rsid w:val="00D742A6"/>
    <w:rsid w:val="00D80981"/>
    <w:rsid w:val="00D8154F"/>
    <w:rsid w:val="00D829D5"/>
    <w:rsid w:val="00D832BF"/>
    <w:rsid w:val="00D84934"/>
    <w:rsid w:val="00D85087"/>
    <w:rsid w:val="00D8561E"/>
    <w:rsid w:val="00D905C9"/>
    <w:rsid w:val="00D917F8"/>
    <w:rsid w:val="00D918C2"/>
    <w:rsid w:val="00D92053"/>
    <w:rsid w:val="00D92068"/>
    <w:rsid w:val="00D92BAB"/>
    <w:rsid w:val="00D93D07"/>
    <w:rsid w:val="00D93EE0"/>
    <w:rsid w:val="00D956E7"/>
    <w:rsid w:val="00D9614B"/>
    <w:rsid w:val="00D9717C"/>
    <w:rsid w:val="00D979F2"/>
    <w:rsid w:val="00D97A61"/>
    <w:rsid w:val="00DA0853"/>
    <w:rsid w:val="00DA18FA"/>
    <w:rsid w:val="00DA2980"/>
    <w:rsid w:val="00DA3851"/>
    <w:rsid w:val="00DA4D32"/>
    <w:rsid w:val="00DA673C"/>
    <w:rsid w:val="00DB2965"/>
    <w:rsid w:val="00DB364F"/>
    <w:rsid w:val="00DB51EA"/>
    <w:rsid w:val="00DB52FA"/>
    <w:rsid w:val="00DB5E41"/>
    <w:rsid w:val="00DB5F19"/>
    <w:rsid w:val="00DB728F"/>
    <w:rsid w:val="00DC0B0B"/>
    <w:rsid w:val="00DC20D1"/>
    <w:rsid w:val="00DC460E"/>
    <w:rsid w:val="00DC626E"/>
    <w:rsid w:val="00DC7710"/>
    <w:rsid w:val="00DD09DF"/>
    <w:rsid w:val="00DD0A43"/>
    <w:rsid w:val="00DD1686"/>
    <w:rsid w:val="00DD1FF4"/>
    <w:rsid w:val="00DD316E"/>
    <w:rsid w:val="00DD4B74"/>
    <w:rsid w:val="00DD6944"/>
    <w:rsid w:val="00DD7725"/>
    <w:rsid w:val="00DE0D18"/>
    <w:rsid w:val="00DE1D8A"/>
    <w:rsid w:val="00DE236F"/>
    <w:rsid w:val="00DE2AC7"/>
    <w:rsid w:val="00DE3037"/>
    <w:rsid w:val="00DE32D3"/>
    <w:rsid w:val="00DE688A"/>
    <w:rsid w:val="00DE6C94"/>
    <w:rsid w:val="00DE7F8F"/>
    <w:rsid w:val="00DF1E61"/>
    <w:rsid w:val="00DF2576"/>
    <w:rsid w:val="00DF3A14"/>
    <w:rsid w:val="00DF40BE"/>
    <w:rsid w:val="00DF75F2"/>
    <w:rsid w:val="00DF775C"/>
    <w:rsid w:val="00E03180"/>
    <w:rsid w:val="00E043A8"/>
    <w:rsid w:val="00E05269"/>
    <w:rsid w:val="00E061EE"/>
    <w:rsid w:val="00E10A81"/>
    <w:rsid w:val="00E123F7"/>
    <w:rsid w:val="00E12824"/>
    <w:rsid w:val="00E13442"/>
    <w:rsid w:val="00E13CCE"/>
    <w:rsid w:val="00E15795"/>
    <w:rsid w:val="00E1783D"/>
    <w:rsid w:val="00E20237"/>
    <w:rsid w:val="00E20CB7"/>
    <w:rsid w:val="00E22D5F"/>
    <w:rsid w:val="00E2396D"/>
    <w:rsid w:val="00E27525"/>
    <w:rsid w:val="00E2765C"/>
    <w:rsid w:val="00E31AF0"/>
    <w:rsid w:val="00E31B09"/>
    <w:rsid w:val="00E33A90"/>
    <w:rsid w:val="00E36B12"/>
    <w:rsid w:val="00E40BC9"/>
    <w:rsid w:val="00E42230"/>
    <w:rsid w:val="00E42CC9"/>
    <w:rsid w:val="00E432C7"/>
    <w:rsid w:val="00E440CE"/>
    <w:rsid w:val="00E44738"/>
    <w:rsid w:val="00E4559A"/>
    <w:rsid w:val="00E51170"/>
    <w:rsid w:val="00E51414"/>
    <w:rsid w:val="00E51EB1"/>
    <w:rsid w:val="00E52BCD"/>
    <w:rsid w:val="00E52DCF"/>
    <w:rsid w:val="00E53DD1"/>
    <w:rsid w:val="00E5496A"/>
    <w:rsid w:val="00E564D5"/>
    <w:rsid w:val="00E57850"/>
    <w:rsid w:val="00E6020D"/>
    <w:rsid w:val="00E60C54"/>
    <w:rsid w:val="00E638B2"/>
    <w:rsid w:val="00E63CE3"/>
    <w:rsid w:val="00E70941"/>
    <w:rsid w:val="00E718C7"/>
    <w:rsid w:val="00E71DD6"/>
    <w:rsid w:val="00E71E09"/>
    <w:rsid w:val="00E7430A"/>
    <w:rsid w:val="00E7575B"/>
    <w:rsid w:val="00E77B25"/>
    <w:rsid w:val="00E80BE1"/>
    <w:rsid w:val="00E815F8"/>
    <w:rsid w:val="00E83046"/>
    <w:rsid w:val="00E8358F"/>
    <w:rsid w:val="00E84D50"/>
    <w:rsid w:val="00E85450"/>
    <w:rsid w:val="00E90841"/>
    <w:rsid w:val="00E93EC7"/>
    <w:rsid w:val="00E95282"/>
    <w:rsid w:val="00E95A66"/>
    <w:rsid w:val="00E95E44"/>
    <w:rsid w:val="00E95E9B"/>
    <w:rsid w:val="00EA23AD"/>
    <w:rsid w:val="00EA759D"/>
    <w:rsid w:val="00EB0578"/>
    <w:rsid w:val="00EB30F8"/>
    <w:rsid w:val="00EB3D96"/>
    <w:rsid w:val="00EC17CA"/>
    <w:rsid w:val="00EC25CC"/>
    <w:rsid w:val="00EC565A"/>
    <w:rsid w:val="00EC5C4B"/>
    <w:rsid w:val="00EC6C51"/>
    <w:rsid w:val="00ED04B0"/>
    <w:rsid w:val="00ED2675"/>
    <w:rsid w:val="00ED29F3"/>
    <w:rsid w:val="00ED2CD0"/>
    <w:rsid w:val="00ED49F7"/>
    <w:rsid w:val="00ED7D20"/>
    <w:rsid w:val="00EE398D"/>
    <w:rsid w:val="00EE4097"/>
    <w:rsid w:val="00EE41F0"/>
    <w:rsid w:val="00EE6715"/>
    <w:rsid w:val="00EE6F7C"/>
    <w:rsid w:val="00EE7AA2"/>
    <w:rsid w:val="00EF05C6"/>
    <w:rsid w:val="00EF1291"/>
    <w:rsid w:val="00EF3489"/>
    <w:rsid w:val="00EF507B"/>
    <w:rsid w:val="00EF605B"/>
    <w:rsid w:val="00EF608E"/>
    <w:rsid w:val="00F0000F"/>
    <w:rsid w:val="00F0071E"/>
    <w:rsid w:val="00F00875"/>
    <w:rsid w:val="00F01AFC"/>
    <w:rsid w:val="00F01E34"/>
    <w:rsid w:val="00F0346D"/>
    <w:rsid w:val="00F034D7"/>
    <w:rsid w:val="00F0594B"/>
    <w:rsid w:val="00F06639"/>
    <w:rsid w:val="00F06991"/>
    <w:rsid w:val="00F1025E"/>
    <w:rsid w:val="00F141E2"/>
    <w:rsid w:val="00F14947"/>
    <w:rsid w:val="00F1608D"/>
    <w:rsid w:val="00F173B8"/>
    <w:rsid w:val="00F201FC"/>
    <w:rsid w:val="00F22937"/>
    <w:rsid w:val="00F235A4"/>
    <w:rsid w:val="00F258D1"/>
    <w:rsid w:val="00F26C67"/>
    <w:rsid w:val="00F31837"/>
    <w:rsid w:val="00F333B4"/>
    <w:rsid w:val="00F33E81"/>
    <w:rsid w:val="00F33F9A"/>
    <w:rsid w:val="00F342CD"/>
    <w:rsid w:val="00F34B23"/>
    <w:rsid w:val="00F369C1"/>
    <w:rsid w:val="00F37AC5"/>
    <w:rsid w:val="00F43B3A"/>
    <w:rsid w:val="00F442CD"/>
    <w:rsid w:val="00F47600"/>
    <w:rsid w:val="00F5067B"/>
    <w:rsid w:val="00F56B2F"/>
    <w:rsid w:val="00F60437"/>
    <w:rsid w:val="00F604B5"/>
    <w:rsid w:val="00F60BF4"/>
    <w:rsid w:val="00F6114E"/>
    <w:rsid w:val="00F62573"/>
    <w:rsid w:val="00F70EE7"/>
    <w:rsid w:val="00F74229"/>
    <w:rsid w:val="00F7493A"/>
    <w:rsid w:val="00F76A64"/>
    <w:rsid w:val="00F810F5"/>
    <w:rsid w:val="00F82679"/>
    <w:rsid w:val="00F844FA"/>
    <w:rsid w:val="00F84AD3"/>
    <w:rsid w:val="00F863F4"/>
    <w:rsid w:val="00F86E50"/>
    <w:rsid w:val="00F87580"/>
    <w:rsid w:val="00F90383"/>
    <w:rsid w:val="00F91959"/>
    <w:rsid w:val="00F91C72"/>
    <w:rsid w:val="00F91FA5"/>
    <w:rsid w:val="00F9371C"/>
    <w:rsid w:val="00FA0C16"/>
    <w:rsid w:val="00FA228D"/>
    <w:rsid w:val="00FA2D55"/>
    <w:rsid w:val="00FA3995"/>
    <w:rsid w:val="00FA4D7C"/>
    <w:rsid w:val="00FA53BE"/>
    <w:rsid w:val="00FA6BCA"/>
    <w:rsid w:val="00FA6DAC"/>
    <w:rsid w:val="00FA7A44"/>
    <w:rsid w:val="00FB00CE"/>
    <w:rsid w:val="00FB15D7"/>
    <w:rsid w:val="00FB1A16"/>
    <w:rsid w:val="00FB3E34"/>
    <w:rsid w:val="00FB4DF3"/>
    <w:rsid w:val="00FB536F"/>
    <w:rsid w:val="00FB7532"/>
    <w:rsid w:val="00FB795D"/>
    <w:rsid w:val="00FC23B0"/>
    <w:rsid w:val="00FC2AEB"/>
    <w:rsid w:val="00FC2F38"/>
    <w:rsid w:val="00FC3364"/>
    <w:rsid w:val="00FC3D94"/>
    <w:rsid w:val="00FC6DC9"/>
    <w:rsid w:val="00FC73C3"/>
    <w:rsid w:val="00FD1E29"/>
    <w:rsid w:val="00FD509C"/>
    <w:rsid w:val="00FD77DF"/>
    <w:rsid w:val="00FE036B"/>
    <w:rsid w:val="00FE6A9C"/>
    <w:rsid w:val="00FE6F5D"/>
    <w:rsid w:val="00FE6FF0"/>
    <w:rsid w:val="00FF00E4"/>
    <w:rsid w:val="00FF0C71"/>
    <w:rsid w:val="00FF2EF9"/>
    <w:rsid w:val="00FF5EE1"/>
    <w:rsid w:val="00FF5F0A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78E424"/>
  <w15:docId w15:val="{B80A0344-6DB4-4C24-9849-502C9882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01F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F60BF4"/>
    <w:pPr>
      <w:keepNext/>
      <w:numPr>
        <w:numId w:val="4"/>
      </w:numPr>
      <w:spacing w:before="480" w:after="240"/>
      <w:jc w:val="both"/>
      <w:outlineLvl w:val="0"/>
    </w:pPr>
    <w:rPr>
      <w:b/>
      <w:snapToGrid w:val="0"/>
      <w:color w:val="000000"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2E26B2"/>
    <w:pPr>
      <w:keepNext/>
      <w:numPr>
        <w:ilvl w:val="1"/>
        <w:numId w:val="1"/>
      </w:numPr>
      <w:tabs>
        <w:tab w:val="left" w:pos="1080"/>
      </w:tabs>
      <w:spacing w:before="240" w:after="60"/>
      <w:outlineLvl w:val="1"/>
    </w:pPr>
    <w:rPr>
      <w:b/>
      <w:bCs/>
      <w:iCs/>
      <w:snapToGrid w:val="0"/>
      <w:kern w:val="28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659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74E9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74E9C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FC6DC9"/>
    <w:pPr>
      <w:tabs>
        <w:tab w:val="left" w:pos="567"/>
        <w:tab w:val="right" w:leader="dot" w:pos="9072"/>
      </w:tabs>
      <w:spacing w:after="100"/>
    </w:pPr>
    <w:rPr>
      <w:rFonts w:ascii="Arial" w:hAnsi="Arial"/>
      <w:b/>
      <w:noProof/>
      <w:sz w:val="26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7C3533"/>
    <w:pPr>
      <w:tabs>
        <w:tab w:val="left" w:pos="709"/>
        <w:tab w:val="right" w:leader="dot" w:pos="9072"/>
      </w:tabs>
      <w:spacing w:after="100"/>
      <w:ind w:left="680"/>
    </w:pPr>
    <w:rPr>
      <w:rFonts w:ascii="Arial" w:hAnsi="Arial"/>
      <w:b/>
      <w:noProof/>
      <w:szCs w:val="20"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sz w:val="24"/>
      <w:szCs w:val="24"/>
    </w:rPr>
  </w:style>
  <w:style w:type="character" w:customStyle="1" w:styleId="Nadpis1Char">
    <w:name w:val="Nadpis 1 Char"/>
    <w:link w:val="Nadpis1"/>
    <w:rsid w:val="00F60BF4"/>
    <w:rPr>
      <w:b/>
      <w:snapToGrid w:val="0"/>
      <w:color w:val="000000"/>
      <w:kern w:val="28"/>
      <w:sz w:val="28"/>
      <w:szCs w:val="28"/>
      <w:u w:val="single"/>
    </w:rPr>
  </w:style>
  <w:style w:type="character" w:customStyle="1" w:styleId="Nadpis2Char">
    <w:name w:val="Nadpis 2 Char"/>
    <w:link w:val="Nadpis2"/>
    <w:rsid w:val="002E26B2"/>
    <w:rPr>
      <w:b/>
      <w:bCs/>
      <w:iCs/>
      <w:snapToGrid w:val="0"/>
      <w:kern w:val="28"/>
      <w:sz w:val="26"/>
      <w:szCs w:val="26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2"/>
      </w:numPr>
    </w:pPr>
  </w:style>
  <w:style w:type="numbering" w:customStyle="1" w:styleId="Aktulnseznam2">
    <w:name w:val="Aktuální seznam2"/>
    <w:rsid w:val="003E1B20"/>
    <w:pPr>
      <w:numPr>
        <w:numId w:val="3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customStyle="1" w:styleId="ACo-nadpis">
    <w:name w:val="_A Co - nadpis"/>
    <w:next w:val="Normln"/>
    <w:link w:val="ACo-nadpisChar"/>
    <w:qFormat/>
    <w:rsid w:val="00D93EE0"/>
    <w:pPr>
      <w:numPr>
        <w:numId w:val="5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character" w:customStyle="1" w:styleId="ACo-nadpisChar">
    <w:name w:val="_A Co - nadpis Char"/>
    <w:basedOn w:val="Standardnpsmoodstavce"/>
    <w:link w:val="ACo-nadpis"/>
    <w:rsid w:val="00D93EE0"/>
    <w:rPr>
      <w:rFonts w:ascii="Arial" w:hAnsi="Arial" w:cs="Arial"/>
      <w:b/>
      <w:caps/>
      <w:spacing w:val="100"/>
      <w:sz w:val="40"/>
      <w:szCs w:val="40"/>
    </w:rPr>
  </w:style>
  <w:style w:type="paragraph" w:customStyle="1" w:styleId="BCo-B1">
    <w:name w:val="_B Co - B.1"/>
    <w:basedOn w:val="ACo-nadpis"/>
    <w:qFormat/>
    <w:rsid w:val="00D03091"/>
    <w:pPr>
      <w:numPr>
        <w:numId w:val="6"/>
      </w:numPr>
      <w:spacing w:before="240" w:after="120"/>
      <w:jc w:val="left"/>
    </w:pPr>
    <w:rPr>
      <w:caps w:val="0"/>
      <w:spacing w:val="0"/>
      <w:sz w:val="28"/>
      <w:u w:val="single"/>
    </w:rPr>
  </w:style>
  <w:style w:type="paragraph" w:customStyle="1" w:styleId="C1Co-podst">
    <w:name w:val="_C1 Co - podčást"/>
    <w:basedOn w:val="Normln"/>
    <w:next w:val="Normln"/>
    <w:qFormat/>
    <w:rsid w:val="00D71501"/>
    <w:pPr>
      <w:keepNext/>
      <w:tabs>
        <w:tab w:val="left" w:pos="567"/>
        <w:tab w:val="left" w:pos="1843"/>
      </w:tabs>
      <w:autoSpaceDE w:val="0"/>
      <w:autoSpaceDN w:val="0"/>
      <w:spacing w:before="120" w:after="120"/>
      <w:ind w:left="680"/>
      <w:outlineLvl w:val="2"/>
    </w:pPr>
    <w:rPr>
      <w:rFonts w:ascii="Arial" w:hAnsi="Arial" w:cs="Arial"/>
      <w:b/>
      <w:snapToGrid w:val="0"/>
    </w:rPr>
  </w:style>
  <w:style w:type="paragraph" w:customStyle="1" w:styleId="C2Co-Podsta">
    <w:name w:val="_C2 Co - Podčást a)"/>
    <w:basedOn w:val="Normln"/>
    <w:link w:val="C2Co-PodstaChar"/>
    <w:qFormat/>
    <w:rsid w:val="006E5D51"/>
    <w:pPr>
      <w:numPr>
        <w:numId w:val="17"/>
      </w:numPr>
      <w:spacing w:before="120" w:after="60"/>
      <w:ind w:left="1105" w:hanging="425"/>
      <w:jc w:val="both"/>
    </w:pPr>
    <w:rPr>
      <w:rFonts w:ascii="Arial" w:hAnsi="Arial"/>
      <w:b/>
      <w:i/>
      <w:iCs/>
      <w:szCs w:val="20"/>
    </w:rPr>
  </w:style>
  <w:style w:type="character" w:customStyle="1" w:styleId="C2Co-PodstaChar">
    <w:name w:val="_C2 Co - Podčást a) Char"/>
    <w:basedOn w:val="Standardnpsmoodstavce"/>
    <w:link w:val="C2Co-Podsta"/>
    <w:rsid w:val="006E5D51"/>
    <w:rPr>
      <w:rFonts w:ascii="Arial" w:hAnsi="Arial"/>
      <w:b/>
      <w:i/>
      <w:iCs/>
      <w:sz w:val="24"/>
    </w:rPr>
  </w:style>
  <w:style w:type="paragraph" w:customStyle="1" w:styleId="C3Co-Podsttun">
    <w:name w:val="_C3 Co - Podčást tučná"/>
    <w:basedOn w:val="C2Co-Podsta"/>
    <w:rsid w:val="00D93EE0"/>
    <w:pPr>
      <w:numPr>
        <w:numId w:val="0"/>
      </w:numPr>
      <w:ind w:left="737"/>
    </w:pPr>
    <w:rPr>
      <w:b w:val="0"/>
      <w:bCs/>
      <w:iCs w:val="0"/>
    </w:rPr>
  </w:style>
  <w:style w:type="paragraph" w:customStyle="1" w:styleId="D1Co-normln">
    <w:name w:val="_D1 Co - normální"/>
    <w:basedOn w:val="Normln"/>
    <w:link w:val="D1Co-normlnChar"/>
    <w:qFormat/>
    <w:rsid w:val="006E5D51"/>
    <w:pPr>
      <w:ind w:left="680"/>
      <w:jc w:val="both"/>
    </w:pPr>
    <w:rPr>
      <w:rFonts w:ascii="Arial" w:hAnsi="Arial"/>
      <w:szCs w:val="20"/>
    </w:rPr>
  </w:style>
  <w:style w:type="character" w:customStyle="1" w:styleId="D1Co-normlnChar">
    <w:name w:val="_D1 Co - normální Char"/>
    <w:basedOn w:val="Standardnpsmoodstavce"/>
    <w:link w:val="D1Co-normln"/>
    <w:rsid w:val="006E5D51"/>
    <w:rPr>
      <w:rFonts w:ascii="Arial" w:hAnsi="Arial"/>
      <w:sz w:val="24"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D93EE0"/>
  </w:style>
  <w:style w:type="character" w:customStyle="1" w:styleId="D2Co-normlnbezodsazenChar">
    <w:name w:val="_D2 Co - normální + bez odsazení Char"/>
    <w:basedOn w:val="D1Co-normlnChar"/>
    <w:link w:val="D2Co-normlnbezodsazen"/>
    <w:rsid w:val="00D93EE0"/>
    <w:rPr>
      <w:rFonts w:ascii="Arial" w:hAnsi="Arial"/>
      <w:sz w:val="24"/>
    </w:rPr>
  </w:style>
  <w:style w:type="paragraph" w:customStyle="1" w:styleId="D3Co-normlntunbezodsazen">
    <w:name w:val="_D3 Co - normální + tučné + bez odsazení"/>
    <w:basedOn w:val="D1Co-normln"/>
    <w:rsid w:val="00D060B7"/>
    <w:rPr>
      <w:b/>
      <w:bCs/>
      <w:i/>
    </w:rPr>
  </w:style>
  <w:style w:type="paragraph" w:customStyle="1" w:styleId="ECo-body">
    <w:name w:val="_E Co - body"/>
    <w:basedOn w:val="Normln"/>
    <w:link w:val="ECo-bodyChar"/>
    <w:qFormat/>
    <w:rsid w:val="00D93EE0"/>
    <w:pPr>
      <w:numPr>
        <w:numId w:val="8"/>
      </w:numPr>
      <w:jc w:val="both"/>
    </w:pPr>
    <w:rPr>
      <w:szCs w:val="20"/>
    </w:rPr>
  </w:style>
  <w:style w:type="character" w:customStyle="1" w:styleId="ECo-bodyChar">
    <w:name w:val="_E Co - body Char"/>
    <w:basedOn w:val="Standardnpsmoodstavce"/>
    <w:link w:val="ECo-body"/>
    <w:rsid w:val="00D93EE0"/>
    <w:rPr>
      <w:sz w:val="24"/>
    </w:rPr>
  </w:style>
  <w:style w:type="paragraph" w:customStyle="1" w:styleId="FCo-obsah">
    <w:name w:val="_F Co - obsah"/>
    <w:qFormat/>
    <w:rsid w:val="00D93EE0"/>
    <w:rPr>
      <w:b/>
      <w:snapToGrid w:val="0"/>
      <w:sz w:val="28"/>
    </w:rPr>
  </w:style>
  <w:style w:type="paragraph" w:customStyle="1" w:styleId="G1Co-IdSt-L">
    <w:name w:val="_G1 Co - IdSt - L"/>
    <w:basedOn w:val="D1Co-normln"/>
    <w:link w:val="G1Co-IdSt-LChar"/>
    <w:qFormat/>
    <w:rsid w:val="00D93EE0"/>
  </w:style>
  <w:style w:type="character" w:customStyle="1" w:styleId="G1Co-IdSt-LChar">
    <w:name w:val="_G1 Co - IdSt - L Char"/>
    <w:basedOn w:val="D1Co-normlnChar"/>
    <w:link w:val="G1Co-IdSt-L"/>
    <w:rsid w:val="00D93EE0"/>
    <w:rPr>
      <w:rFonts w:ascii="Arial" w:hAnsi="Arial"/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93EE0"/>
    <w:pPr>
      <w:ind w:left="0"/>
      <w:jc w:val="left"/>
    </w:pPr>
  </w:style>
  <w:style w:type="character" w:customStyle="1" w:styleId="G2Co-IdSt-PChar">
    <w:name w:val="_G2 Co - IdSt - P Char"/>
    <w:basedOn w:val="G1Co-IdSt-LChar"/>
    <w:link w:val="G2Co-IdSt-P"/>
    <w:rsid w:val="00D93EE0"/>
    <w:rPr>
      <w:rFonts w:ascii="Arial" w:hAnsi="Arial"/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D93EE0"/>
    <w:rPr>
      <w:b/>
    </w:rPr>
  </w:style>
  <w:style w:type="character" w:customStyle="1" w:styleId="G3Co-IdSt-P-tunChar">
    <w:name w:val="_G3 Co - IdSt - P - tučné Char"/>
    <w:basedOn w:val="G2Co-IdSt-PChar"/>
    <w:link w:val="G3Co-IdSt-P-tun"/>
    <w:rsid w:val="00D93EE0"/>
    <w:rPr>
      <w:rFonts w:ascii="Arial" w:hAnsi="Arial"/>
      <w:b/>
      <w:sz w:val="24"/>
    </w:rPr>
  </w:style>
  <w:style w:type="character" w:customStyle="1" w:styleId="H1Co-raztko-fce">
    <w:name w:val="_H1 Co - razítko - fce"/>
    <w:basedOn w:val="Standardnpsmoodstavce"/>
    <w:rsid w:val="00CF5120"/>
    <w:rPr>
      <w:rFonts w:ascii="Arial" w:hAnsi="Arial"/>
      <w:b/>
      <w:bCs/>
      <w:sz w:val="10"/>
    </w:rPr>
  </w:style>
  <w:style w:type="character" w:customStyle="1" w:styleId="H2Co-raztko-copyright">
    <w:name w:val="_H2 Co - razítko - copyright"/>
    <w:basedOn w:val="Standardnpsmoodstavce"/>
    <w:rsid w:val="00CF5120"/>
    <w:rPr>
      <w:rFonts w:ascii="Arial" w:hAnsi="Arial"/>
      <w:sz w:val="12"/>
    </w:rPr>
  </w:style>
  <w:style w:type="character" w:customStyle="1" w:styleId="H3Co-raztko-obsah">
    <w:name w:val="_H3 Co - razítko - obsah"/>
    <w:basedOn w:val="Standardnpsmoodstavce"/>
    <w:rsid w:val="007368E9"/>
    <w:rPr>
      <w:rFonts w:ascii="Arial" w:hAnsi="Arial"/>
      <w:sz w:val="16"/>
    </w:rPr>
  </w:style>
  <w:style w:type="character" w:customStyle="1" w:styleId="H3Co-raztko-datumstupe">
    <w:name w:val="_H3 Co - razítko - datum+stupeň"/>
    <w:basedOn w:val="H3Co-raztko-obsah"/>
    <w:rsid w:val="007368E9"/>
    <w:rPr>
      <w:rFonts w:ascii="Arial" w:hAnsi="Arial"/>
      <w:sz w:val="20"/>
    </w:rPr>
  </w:style>
  <w:style w:type="character" w:customStyle="1" w:styleId="H4Co-raztko-SPPInfrastruktura">
    <w:name w:val="_H4 Co - razítko - SPP+Infrastruktura"/>
    <w:basedOn w:val="Standardnpsmoodstavce"/>
    <w:rsid w:val="007368E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7368E9"/>
    <w:rPr>
      <w:rFonts w:ascii="Arial" w:hAnsi="Arial"/>
      <w:b/>
      <w:bCs/>
    </w:rPr>
  </w:style>
  <w:style w:type="paragraph" w:customStyle="1" w:styleId="CHCo-zpat-listy">
    <w:name w:val="_CH Co - zápatí - listy"/>
    <w:basedOn w:val="Zhlav"/>
    <w:link w:val="CHCo-zpat-listyChar"/>
    <w:qFormat/>
    <w:rsid w:val="00734469"/>
    <w:pPr>
      <w:tabs>
        <w:tab w:val="clear" w:pos="4536"/>
      </w:tabs>
      <w:jc w:val="right"/>
    </w:pPr>
    <w:rPr>
      <w:i/>
      <w:sz w:val="16"/>
    </w:rPr>
  </w:style>
  <w:style w:type="character" w:customStyle="1" w:styleId="CHCo-zpat-listyChar">
    <w:name w:val="_CH Co - zápatí - listy Char"/>
    <w:basedOn w:val="ZhlavChar"/>
    <w:link w:val="CHCo-zpat-listy"/>
    <w:rsid w:val="00734469"/>
    <w:rPr>
      <w:i/>
      <w:sz w:val="16"/>
      <w:szCs w:val="24"/>
    </w:rPr>
  </w:style>
  <w:style w:type="paragraph" w:customStyle="1" w:styleId="CH3-Zhlav-dokument">
    <w:name w:val="_CH3 - Záhlaví - dokument"/>
    <w:basedOn w:val="CHCo-zpat-listy"/>
    <w:link w:val="CH3-Zhlav-dokumentChar"/>
    <w:qFormat/>
    <w:rsid w:val="00734469"/>
  </w:style>
  <w:style w:type="character" w:customStyle="1" w:styleId="CH3-Zhlav-dokumentChar">
    <w:name w:val="_CH3 - Záhlaví - dokument Char"/>
    <w:basedOn w:val="CHCo-zpat-listyChar"/>
    <w:link w:val="CH3-Zhlav-dokument"/>
    <w:rsid w:val="00734469"/>
    <w:rPr>
      <w:i/>
      <w:sz w:val="16"/>
      <w:szCs w:val="24"/>
    </w:rPr>
  </w:style>
  <w:style w:type="paragraph" w:styleId="Obsah3">
    <w:name w:val="toc 3"/>
    <w:aliases w:val="ar"/>
    <w:basedOn w:val="Normln"/>
    <w:next w:val="Normln"/>
    <w:autoRedefine/>
    <w:uiPriority w:val="39"/>
    <w:qFormat/>
    <w:rsid w:val="0018151D"/>
    <w:pPr>
      <w:tabs>
        <w:tab w:val="right" w:leader="dot" w:pos="9072"/>
      </w:tabs>
      <w:spacing w:after="100"/>
      <w:ind w:left="964" w:right="680" w:hanging="284"/>
    </w:pPr>
    <w:rPr>
      <w:rFonts w:ascii="Arial" w:hAnsi="Arial"/>
      <w:szCs w:val="20"/>
    </w:rPr>
  </w:style>
  <w:style w:type="paragraph" w:styleId="Obsah4">
    <w:name w:val="toc 4"/>
    <w:basedOn w:val="Normln"/>
    <w:next w:val="Normln"/>
    <w:autoRedefine/>
    <w:uiPriority w:val="39"/>
    <w:rsid w:val="00D93EE0"/>
    <w:pPr>
      <w:spacing w:after="100"/>
      <w:ind w:left="720"/>
    </w:pPr>
    <w:rPr>
      <w:rFonts w:ascii="Arial" w:hAnsi="Arial"/>
      <w:szCs w:val="20"/>
    </w:rPr>
  </w:style>
  <w:style w:type="paragraph" w:styleId="Odstavecseseznamem">
    <w:name w:val="List Paragraph"/>
    <w:basedOn w:val="Normln"/>
    <w:uiPriority w:val="34"/>
    <w:qFormat/>
    <w:rsid w:val="00ED7D2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4659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2Co-PodstaBezpodtren">
    <w:name w:val="_C2 Co - Podčást a) + Bez podtržení"/>
    <w:basedOn w:val="C2Co-Podsta"/>
    <w:rsid w:val="00C86DDA"/>
  </w:style>
  <w:style w:type="character" w:customStyle="1" w:styleId="Kormak-podst1Char">
    <w:name w:val="Kormak - podčást 1 Char"/>
    <w:basedOn w:val="Standardnpsmoodstavce"/>
    <w:link w:val="Kormak-podst1"/>
    <w:locked/>
    <w:rsid w:val="00451012"/>
    <w:rPr>
      <w:b/>
      <w:bCs/>
      <w:i/>
      <w:sz w:val="24"/>
    </w:rPr>
  </w:style>
  <w:style w:type="paragraph" w:customStyle="1" w:styleId="Kormak-podst1">
    <w:name w:val="Kormak - podčást 1"/>
    <w:basedOn w:val="Normln"/>
    <w:link w:val="Kormak-podst1Char"/>
    <w:qFormat/>
    <w:rsid w:val="00451012"/>
    <w:pPr>
      <w:snapToGrid w:val="0"/>
      <w:spacing w:before="240" w:after="40"/>
      <w:ind w:firstLine="284"/>
      <w:jc w:val="both"/>
    </w:pPr>
    <w:rPr>
      <w:b/>
      <w:bCs/>
      <w:i/>
      <w:szCs w:val="20"/>
    </w:rPr>
  </w:style>
  <w:style w:type="paragraph" w:customStyle="1" w:styleId="slovnbod">
    <w:name w:val="číslování bodů"/>
    <w:basedOn w:val="Normln"/>
    <w:qFormat/>
    <w:rsid w:val="00994E6F"/>
    <w:pPr>
      <w:numPr>
        <w:numId w:val="22"/>
      </w:numPr>
      <w:tabs>
        <w:tab w:val="left" w:pos="1134"/>
        <w:tab w:val="left" w:pos="1701"/>
      </w:tabs>
      <w:spacing w:before="120" w:after="60"/>
    </w:pPr>
    <w:rPr>
      <w:rFonts w:eastAsia="MS Mincho"/>
      <w:i/>
    </w:rPr>
  </w:style>
  <w:style w:type="paragraph" w:customStyle="1" w:styleId="Text1">
    <w:name w:val="Text1"/>
    <w:basedOn w:val="Normln"/>
    <w:link w:val="Text1Char"/>
    <w:autoRedefine/>
    <w:qFormat/>
    <w:rsid w:val="00D71501"/>
    <w:pPr>
      <w:tabs>
        <w:tab w:val="left" w:pos="1843"/>
        <w:tab w:val="left" w:pos="3686"/>
        <w:tab w:val="left" w:pos="7230"/>
      </w:tabs>
      <w:spacing w:before="120"/>
      <w:jc w:val="both"/>
    </w:pPr>
    <w:rPr>
      <w:rFonts w:ascii="Arial" w:eastAsia="Calibri" w:hAnsi="Arial" w:cs="Arial"/>
      <w:noProof/>
      <w:sz w:val="20"/>
      <w:szCs w:val="20"/>
    </w:rPr>
  </w:style>
  <w:style w:type="character" w:customStyle="1" w:styleId="Text1Char">
    <w:name w:val="Text1 Char"/>
    <w:basedOn w:val="Standardnpsmoodstavce"/>
    <w:link w:val="Text1"/>
    <w:rsid w:val="00D71501"/>
    <w:rPr>
      <w:rFonts w:ascii="Arial" w:eastAsia="Calibri" w:hAnsi="Arial" w:cs="Arial"/>
      <w:noProof/>
    </w:rPr>
  </w:style>
  <w:style w:type="paragraph" w:customStyle="1" w:styleId="Text2">
    <w:name w:val="Text2"/>
    <w:basedOn w:val="Text1"/>
    <w:link w:val="Text2Char"/>
    <w:qFormat/>
    <w:rsid w:val="004811EF"/>
    <w:pPr>
      <w:jc w:val="left"/>
    </w:pPr>
    <w:rPr>
      <w:color w:val="006600"/>
    </w:rPr>
  </w:style>
  <w:style w:type="character" w:customStyle="1" w:styleId="Text2Char">
    <w:name w:val="Text2 Char"/>
    <w:basedOn w:val="Text1Char"/>
    <w:link w:val="Text2"/>
    <w:rsid w:val="004811EF"/>
    <w:rPr>
      <w:rFonts w:ascii="Arial" w:eastAsia="Calibri" w:hAnsi="Arial" w:cs="Arial"/>
      <w:noProof/>
      <w:color w:val="006600"/>
    </w:rPr>
  </w:style>
  <w:style w:type="paragraph" w:customStyle="1" w:styleId="BCo-A1">
    <w:name w:val="_B Co - A.1"/>
    <w:basedOn w:val="ACo-nadpis"/>
    <w:qFormat/>
    <w:rsid w:val="009849F7"/>
    <w:pPr>
      <w:numPr>
        <w:numId w:val="0"/>
      </w:numPr>
      <w:spacing w:before="240" w:after="120"/>
      <w:ind w:left="1080" w:hanging="360"/>
      <w:jc w:val="left"/>
    </w:pPr>
    <w:rPr>
      <w:rFonts w:ascii="Times New Roman" w:hAnsi="Times New Roman"/>
      <w:caps w:val="0"/>
      <w:spacing w:val="0"/>
      <w:sz w:val="28"/>
      <w:u w:val="single"/>
    </w:rPr>
  </w:style>
  <w:style w:type="character" w:customStyle="1" w:styleId="ZpatChar">
    <w:name w:val="Zápatí Char"/>
    <w:link w:val="Zpat"/>
    <w:uiPriority w:val="99"/>
    <w:rsid w:val="00D7018D"/>
    <w:rPr>
      <w:sz w:val="24"/>
      <w:szCs w:val="24"/>
    </w:rPr>
  </w:style>
  <w:style w:type="table" w:styleId="Mkatabulky">
    <w:name w:val="Table Grid"/>
    <w:basedOn w:val="Normlntabulka"/>
    <w:rsid w:val="008C1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38ADA-3221-46D2-A356-CF7B061B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14</Pages>
  <Words>3562</Words>
  <Characters>23133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26642</CharactersWithSpaces>
  <SharedDoc>false</SharedDoc>
  <HLinks>
    <vt:vector size="42" baseType="variant"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_Toc364083433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_Toc364083432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_Toc364083431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_Toc364083430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_Toc364083429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_Toc364083428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_Toc364083427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Suchochleb</dc:creator>
  <cp:lastModifiedBy>SUCHOCHLEB Milan (EQUANS CZ)</cp:lastModifiedBy>
  <cp:revision>161</cp:revision>
  <cp:lastPrinted>2023-05-11T07:36:00Z</cp:lastPrinted>
  <dcterms:created xsi:type="dcterms:W3CDTF">2022-09-23T09:23:00Z</dcterms:created>
  <dcterms:modified xsi:type="dcterms:W3CDTF">2023-05-11T07:36:00Z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2021-05-28T06:49:33Z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b0727925-0527-4a5f-9666-19ded2656a66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2021-11-30T05:30:29Z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d61c7be1-67e1-401d-852b-2bb18026454e</vt:lpwstr>
  </property>
  <property fmtid="{D5CDD505-2E9C-101B-9397-08002B2CF9AE}" pid="15" name="MSIP_Label_64a238cc-6af3-4341-9d32-201b7e04331f_ContentBits">
    <vt:lpwstr>0</vt:lpwstr>
  </property>
</Properties>
</file>